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771E1" w14:textId="20333833" w:rsidR="0091143F" w:rsidRDefault="008A6905" w:rsidP="00B0515B">
      <w:pPr>
        <w:spacing w:line="276" w:lineRule="auto"/>
        <w:jc w:val="center"/>
        <w:rPr>
          <w:rFonts w:eastAsia="Times New Roman" w:cs="Arial"/>
          <w:b/>
          <w:sz w:val="22"/>
          <w14:textOutline w14:w="0" w14:cap="flat" w14:cmpd="sng" w14:algn="ctr">
            <w14:noFill/>
            <w14:prstDash w14:val="solid"/>
            <w14:round/>
          </w14:textOutline>
          <w14:props3d w14:extrusionH="57150" w14:contourW="0" w14:prstMaterial="softEdge">
            <w14:bevelT w14:w="25400" w14:h="38100" w14:prst="circle"/>
          </w14:props3d>
        </w:rPr>
      </w:pPr>
      <w:r w:rsidRPr="008A6905">
        <w:rPr>
          <w:rFonts w:eastAsia="Times New Roman" w:cs="Arial"/>
          <w:b/>
          <w:sz w:val="22"/>
          <w14:textOutline w14:w="0" w14:cap="flat" w14:cmpd="sng" w14:algn="ctr">
            <w14:noFill/>
            <w14:prstDash w14:val="solid"/>
            <w14:round/>
          </w14:textOutline>
          <w14:props3d w14:extrusionH="57150" w14:contourW="0" w14:prstMaterial="softEdge">
            <w14:bevelT w14:w="25400" w14:h="38100" w14:prst="circle"/>
          </w14:props3d>
        </w:rPr>
        <w:t>UPROSZCZONE METODY ROZLICZANIA WYDATKÓW</w:t>
      </w:r>
      <w:r w:rsidR="0019272D">
        <w:rPr>
          <w:rFonts w:eastAsia="Times New Roman" w:cs="Arial"/>
          <w:b/>
          <w:sz w:val="22"/>
          <w14:textOutline w14:w="0" w14:cap="flat" w14:cmpd="sng" w14:algn="ctr">
            <w14:noFill/>
            <w14:prstDash w14:val="solid"/>
            <w14:round/>
          </w14:textOutline>
          <w14:props3d w14:extrusionH="57150" w14:contourW="0" w14:prstMaterial="softEdge">
            <w14:bevelT w14:w="25400" w14:h="38100" w14:prst="circle"/>
          </w14:props3d>
        </w:rPr>
        <w:t xml:space="preserve"> DLA PARTNERÓW Z KM FEPW</w:t>
      </w:r>
      <w:r w:rsidRPr="008A6905">
        <w:rPr>
          <w:rFonts w:eastAsia="Times New Roman" w:cs="Arial"/>
          <w:b/>
          <w:sz w:val="22"/>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2E561497" w14:textId="13698CFC" w:rsidR="008A6905" w:rsidRPr="008A6905" w:rsidRDefault="008A6905" w:rsidP="008A6905">
      <w:pPr>
        <w:spacing w:line="276" w:lineRule="auto"/>
        <w:jc w:val="center"/>
        <w:rPr>
          <w:rFonts w:eastAsia="Times New Roman" w:cs="Arial"/>
          <w:bCs/>
          <w:sz w:val="22"/>
          <w14:textOutline w14:w="0" w14:cap="flat" w14:cmpd="sng" w14:algn="ctr">
            <w14:noFill/>
            <w14:prstDash w14:val="solid"/>
            <w14:round/>
          </w14:textOutline>
          <w14:props3d w14:extrusionH="57150" w14:contourW="0" w14:prstMaterial="softEdge">
            <w14:bevelT w14:w="25400" w14:h="38100" w14:prst="circle"/>
          </w14:props3d>
        </w:rPr>
      </w:pPr>
      <w:r w:rsidRPr="008A6905">
        <w:rPr>
          <w:rFonts w:eastAsia="Times New Roman" w:cs="Arial"/>
          <w:bCs/>
          <w:sz w:val="22"/>
          <w14:textOutline w14:w="0" w14:cap="flat" w14:cmpd="sng" w14:algn="ctr">
            <w14:noFill/>
            <w14:prstDash w14:val="solid"/>
            <w14:round/>
          </w14:textOutline>
          <w14:props3d w14:extrusionH="57150" w14:contourW="0" w14:prstMaterial="softEdge">
            <w14:bevelT w14:w="25400" w14:h="38100" w14:prst="circle"/>
          </w14:props3d>
        </w:rPr>
        <w:t xml:space="preserve">zgodnie z </w:t>
      </w:r>
      <w:r w:rsidRPr="008A6905">
        <w:rPr>
          <w:rFonts w:eastAsia="Times New Roman" w:cs="Arial"/>
          <w:bCs/>
          <w:i/>
          <w:iCs/>
          <w:sz w:val="22"/>
          <w14:textOutline w14:w="0" w14:cap="flat" w14:cmpd="sng" w14:algn="ctr">
            <w14:noFill/>
            <w14:prstDash w14:val="solid"/>
            <w14:round/>
          </w14:textOutline>
          <w14:props3d w14:extrusionH="57150" w14:contourW="0" w14:prstMaterial="softEdge">
            <w14:bevelT w14:w="25400" w14:h="38100" w14:prst="circle"/>
          </w14:props3d>
        </w:rPr>
        <w:t>Wytycznymi dotyczącymi kwalifikowalności wydatków na lata 2021-2027</w:t>
      </w:r>
    </w:p>
    <w:p w14:paraId="2798ACBE" w14:textId="26797D8B" w:rsidR="00BC03B8" w:rsidRPr="00A70C6E" w:rsidRDefault="00B51645" w:rsidP="007E08CA">
      <w:pPr>
        <w:spacing w:line="276" w:lineRule="auto"/>
        <w:rPr>
          <w:rFonts w:cs="Arial"/>
          <w:b/>
          <w:smallCaps/>
          <w:szCs w:val="20"/>
        </w:rPr>
      </w:pPr>
      <w:r w:rsidRPr="00A70C6E">
        <w:rPr>
          <w:rFonts w:cs="Arial"/>
          <w:b/>
          <w:smallCaps/>
          <w:szCs w:val="20"/>
        </w:rPr>
        <w:t>A. Podsumowanie głównych elementów</w:t>
      </w:r>
    </w:p>
    <w:p w14:paraId="2727ACFF" w14:textId="77777777" w:rsidR="00474123" w:rsidRPr="00A70C6E" w:rsidRDefault="00474123" w:rsidP="007E08CA">
      <w:pPr>
        <w:spacing w:line="276" w:lineRule="auto"/>
        <w:jc w:val="both"/>
        <w:rPr>
          <w:rFonts w:cs="Arial"/>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47"/>
        <w:gridCol w:w="739"/>
        <w:gridCol w:w="1117"/>
        <w:gridCol w:w="1100"/>
        <w:gridCol w:w="1094"/>
        <w:gridCol w:w="417"/>
        <w:gridCol w:w="1332"/>
        <w:gridCol w:w="631"/>
        <w:gridCol w:w="2443"/>
        <w:gridCol w:w="1475"/>
        <w:gridCol w:w="1201"/>
        <w:gridCol w:w="1296"/>
      </w:tblGrid>
      <w:tr w:rsidR="00A70C6E" w:rsidRPr="00A70C6E" w14:paraId="0C1DBCE4" w14:textId="77777777" w:rsidTr="009C0301">
        <w:trPr>
          <w:trHeight w:val="1159"/>
          <w:jc w:val="center"/>
        </w:trPr>
        <w:tc>
          <w:tcPr>
            <w:tcW w:w="410" w:type="pct"/>
            <w:vMerge w:val="restart"/>
            <w:shd w:val="clear" w:color="auto" w:fill="FFFFFF"/>
            <w:vAlign w:val="center"/>
          </w:tcPr>
          <w:p w14:paraId="3824806A" w14:textId="77777777" w:rsidR="00BB247E" w:rsidRPr="00A70C6E" w:rsidRDefault="00BB247E" w:rsidP="007E08CA">
            <w:pPr>
              <w:pStyle w:val="Inne0"/>
              <w:spacing w:line="276" w:lineRule="auto"/>
              <w:jc w:val="center"/>
              <w:rPr>
                <w:rFonts w:ascii="Arial" w:hAnsi="Arial" w:cs="Arial"/>
                <w:b/>
                <w:smallCaps/>
                <w:sz w:val="18"/>
                <w:szCs w:val="18"/>
              </w:rPr>
            </w:pPr>
            <w:r w:rsidRPr="00A70C6E">
              <w:rPr>
                <w:rFonts w:ascii="Arial" w:hAnsi="Arial" w:cs="Arial"/>
                <w:b/>
                <w:smallCaps/>
                <w:sz w:val="18"/>
                <w:szCs w:val="18"/>
              </w:rPr>
              <w:t>Priorytet</w:t>
            </w:r>
          </w:p>
        </w:tc>
        <w:tc>
          <w:tcPr>
            <w:tcW w:w="264" w:type="pct"/>
            <w:vMerge w:val="restart"/>
            <w:shd w:val="clear" w:color="auto" w:fill="FFFFFF"/>
            <w:vAlign w:val="center"/>
          </w:tcPr>
          <w:p w14:paraId="6B5F2AD0" w14:textId="77777777" w:rsidR="00BB247E" w:rsidRPr="00A70C6E" w:rsidRDefault="00BB247E" w:rsidP="007E08CA">
            <w:pPr>
              <w:pStyle w:val="Inne0"/>
              <w:spacing w:line="276" w:lineRule="auto"/>
              <w:jc w:val="center"/>
              <w:rPr>
                <w:rFonts w:ascii="Arial" w:hAnsi="Arial" w:cs="Arial"/>
                <w:b/>
                <w:smallCaps/>
                <w:sz w:val="18"/>
                <w:szCs w:val="18"/>
              </w:rPr>
            </w:pPr>
            <w:r w:rsidRPr="00A70C6E">
              <w:rPr>
                <w:rFonts w:ascii="Arial" w:hAnsi="Arial" w:cs="Arial"/>
                <w:b/>
                <w:smallCaps/>
                <w:sz w:val="18"/>
                <w:szCs w:val="18"/>
              </w:rPr>
              <w:t>Fundusz</w:t>
            </w:r>
          </w:p>
        </w:tc>
        <w:tc>
          <w:tcPr>
            <w:tcW w:w="399" w:type="pct"/>
            <w:vMerge w:val="restart"/>
            <w:shd w:val="clear" w:color="auto" w:fill="FFFFFF"/>
            <w:vAlign w:val="center"/>
          </w:tcPr>
          <w:p w14:paraId="3CFA5244" w14:textId="77777777" w:rsidR="00BB247E" w:rsidRPr="00A70C6E" w:rsidRDefault="00BB247E" w:rsidP="007E08CA">
            <w:pPr>
              <w:pStyle w:val="Inne0"/>
              <w:spacing w:line="276" w:lineRule="auto"/>
              <w:jc w:val="center"/>
              <w:rPr>
                <w:rFonts w:ascii="Arial" w:hAnsi="Arial" w:cs="Arial"/>
                <w:b/>
                <w:smallCaps/>
                <w:sz w:val="18"/>
                <w:szCs w:val="18"/>
              </w:rPr>
            </w:pPr>
            <w:r w:rsidRPr="00A70C6E">
              <w:rPr>
                <w:rFonts w:ascii="Arial" w:hAnsi="Arial" w:cs="Arial"/>
                <w:b/>
                <w:smallCaps/>
                <w:sz w:val="18"/>
                <w:szCs w:val="18"/>
              </w:rPr>
              <w:t>Cel szczegółowy</w:t>
            </w:r>
          </w:p>
        </w:tc>
        <w:tc>
          <w:tcPr>
            <w:tcW w:w="393" w:type="pct"/>
            <w:vMerge w:val="restart"/>
            <w:shd w:val="clear" w:color="auto" w:fill="FFFFFF"/>
            <w:vAlign w:val="center"/>
          </w:tcPr>
          <w:p w14:paraId="6A32D956" w14:textId="77777777" w:rsidR="00BB247E" w:rsidRPr="00A70C6E" w:rsidRDefault="00BB247E" w:rsidP="007E08CA">
            <w:pPr>
              <w:pStyle w:val="Inne0"/>
              <w:spacing w:line="276" w:lineRule="auto"/>
              <w:jc w:val="center"/>
              <w:rPr>
                <w:rFonts w:ascii="Arial" w:hAnsi="Arial" w:cs="Arial"/>
                <w:b/>
                <w:smallCaps/>
                <w:sz w:val="18"/>
                <w:szCs w:val="18"/>
              </w:rPr>
            </w:pPr>
            <w:r w:rsidRPr="00A70C6E">
              <w:rPr>
                <w:rFonts w:ascii="Arial" w:hAnsi="Arial" w:cs="Arial"/>
                <w:b/>
                <w:smallCaps/>
                <w:sz w:val="18"/>
                <w:szCs w:val="18"/>
              </w:rPr>
              <w:t>Kategoria regionu</w:t>
            </w:r>
          </w:p>
        </w:tc>
        <w:tc>
          <w:tcPr>
            <w:tcW w:w="391" w:type="pct"/>
            <w:vMerge w:val="restart"/>
            <w:shd w:val="clear" w:color="auto" w:fill="FFFFFF"/>
            <w:vAlign w:val="center"/>
          </w:tcPr>
          <w:p w14:paraId="3BC8A1E4" w14:textId="77777777" w:rsidR="00BB247E" w:rsidRPr="00A70C6E" w:rsidRDefault="00BB247E" w:rsidP="007E08CA">
            <w:pPr>
              <w:pStyle w:val="Inne0"/>
              <w:spacing w:line="276" w:lineRule="auto"/>
              <w:jc w:val="center"/>
              <w:rPr>
                <w:rFonts w:ascii="Arial" w:hAnsi="Arial" w:cs="Arial"/>
                <w:b/>
                <w:smallCaps/>
                <w:sz w:val="18"/>
                <w:szCs w:val="18"/>
              </w:rPr>
            </w:pPr>
            <w:r w:rsidRPr="00A70C6E">
              <w:rPr>
                <w:rFonts w:ascii="Arial" w:hAnsi="Arial" w:cs="Arial"/>
                <w:b/>
                <w:smallCaps/>
                <w:sz w:val="18"/>
                <w:szCs w:val="18"/>
              </w:rPr>
              <w:t>Szacunkowy udział łącznej alokacji finansowej w ramach priorytetu, do którego stosowane będą uproszczone metody rozliczania kosztów (SCO), w %</w:t>
            </w:r>
          </w:p>
        </w:tc>
        <w:tc>
          <w:tcPr>
            <w:tcW w:w="625" w:type="pct"/>
            <w:gridSpan w:val="2"/>
            <w:shd w:val="clear" w:color="auto" w:fill="FFFFFF"/>
            <w:vAlign w:val="center"/>
          </w:tcPr>
          <w:p w14:paraId="1AF78604" w14:textId="77777777" w:rsidR="00BB247E" w:rsidRPr="00A70C6E" w:rsidRDefault="00BB247E" w:rsidP="007E08CA">
            <w:pPr>
              <w:pStyle w:val="Inne0"/>
              <w:spacing w:line="276" w:lineRule="auto"/>
              <w:jc w:val="center"/>
              <w:rPr>
                <w:rFonts w:ascii="Arial" w:hAnsi="Arial" w:cs="Arial"/>
                <w:b/>
                <w:smallCaps/>
                <w:sz w:val="18"/>
                <w:szCs w:val="18"/>
              </w:rPr>
            </w:pPr>
            <w:r w:rsidRPr="00A70C6E">
              <w:rPr>
                <w:rFonts w:ascii="Arial" w:hAnsi="Arial" w:cs="Arial"/>
                <w:b/>
                <w:smallCaps/>
                <w:sz w:val="18"/>
                <w:szCs w:val="18"/>
              </w:rPr>
              <w:t>Rodzaj(e) operacji objętej(-</w:t>
            </w:r>
            <w:proofErr w:type="spellStart"/>
            <w:r w:rsidRPr="00A70C6E">
              <w:rPr>
                <w:rFonts w:ascii="Arial" w:hAnsi="Arial" w:cs="Arial"/>
                <w:b/>
                <w:smallCaps/>
                <w:sz w:val="18"/>
                <w:szCs w:val="18"/>
              </w:rPr>
              <w:t>ych</w:t>
            </w:r>
            <w:proofErr w:type="spellEnd"/>
            <w:r w:rsidRPr="00A70C6E">
              <w:rPr>
                <w:rFonts w:ascii="Arial" w:hAnsi="Arial" w:cs="Arial"/>
                <w:b/>
                <w:smallCaps/>
                <w:sz w:val="18"/>
                <w:szCs w:val="18"/>
              </w:rPr>
              <w:t>) finansowaniem</w:t>
            </w:r>
          </w:p>
        </w:tc>
        <w:tc>
          <w:tcPr>
            <w:tcW w:w="1098" w:type="pct"/>
            <w:gridSpan w:val="2"/>
            <w:shd w:val="clear" w:color="auto" w:fill="FFFFFF"/>
            <w:vAlign w:val="center"/>
          </w:tcPr>
          <w:p w14:paraId="24DD074B" w14:textId="77777777" w:rsidR="00BB247E" w:rsidRPr="00A70C6E" w:rsidRDefault="00BB247E" w:rsidP="007E08CA">
            <w:pPr>
              <w:pStyle w:val="Inne0"/>
              <w:spacing w:line="276" w:lineRule="auto"/>
              <w:jc w:val="center"/>
              <w:rPr>
                <w:rFonts w:ascii="Arial" w:hAnsi="Arial" w:cs="Arial"/>
                <w:b/>
                <w:smallCaps/>
                <w:sz w:val="18"/>
                <w:szCs w:val="18"/>
              </w:rPr>
            </w:pPr>
            <w:r w:rsidRPr="00A70C6E">
              <w:rPr>
                <w:rFonts w:ascii="Arial" w:hAnsi="Arial" w:cs="Arial"/>
                <w:b/>
                <w:smallCaps/>
                <w:sz w:val="18"/>
                <w:szCs w:val="18"/>
              </w:rPr>
              <w:t>Wskaźnik uruchamiający refundację kosztów</w:t>
            </w:r>
          </w:p>
        </w:tc>
        <w:tc>
          <w:tcPr>
            <w:tcW w:w="527" w:type="pct"/>
            <w:vMerge w:val="restart"/>
            <w:shd w:val="clear" w:color="auto" w:fill="FFFFFF"/>
            <w:vAlign w:val="center"/>
          </w:tcPr>
          <w:p w14:paraId="4E6D98CB" w14:textId="77777777" w:rsidR="00BB247E" w:rsidRPr="00A70C6E" w:rsidRDefault="00BB247E" w:rsidP="007E08CA">
            <w:pPr>
              <w:pStyle w:val="Inne0"/>
              <w:spacing w:line="276" w:lineRule="auto"/>
              <w:jc w:val="center"/>
              <w:rPr>
                <w:rFonts w:ascii="Arial" w:hAnsi="Arial" w:cs="Arial"/>
                <w:b/>
                <w:smallCaps/>
                <w:sz w:val="18"/>
                <w:szCs w:val="18"/>
              </w:rPr>
            </w:pPr>
            <w:r w:rsidRPr="00A70C6E">
              <w:rPr>
                <w:rFonts w:ascii="Arial" w:hAnsi="Arial" w:cs="Arial"/>
                <w:b/>
                <w:smallCaps/>
                <w:sz w:val="18"/>
                <w:szCs w:val="18"/>
              </w:rPr>
              <w:t>Jednostka miary wskaźnika uruchamiającego refundację kosztów</w:t>
            </w:r>
          </w:p>
        </w:tc>
        <w:tc>
          <w:tcPr>
            <w:tcW w:w="429" w:type="pct"/>
            <w:vMerge w:val="restart"/>
            <w:shd w:val="clear" w:color="auto" w:fill="FFFFFF"/>
            <w:vAlign w:val="center"/>
          </w:tcPr>
          <w:p w14:paraId="5D8B87B3" w14:textId="77777777" w:rsidR="00BB247E" w:rsidRPr="00A70C6E" w:rsidRDefault="00BB247E" w:rsidP="007E08CA">
            <w:pPr>
              <w:pStyle w:val="Inne0"/>
              <w:spacing w:line="276" w:lineRule="auto"/>
              <w:jc w:val="center"/>
              <w:rPr>
                <w:rFonts w:ascii="Arial" w:hAnsi="Arial" w:cs="Arial"/>
                <w:b/>
                <w:smallCaps/>
                <w:sz w:val="18"/>
                <w:szCs w:val="18"/>
              </w:rPr>
            </w:pPr>
            <w:r w:rsidRPr="00A70C6E">
              <w:rPr>
                <w:rFonts w:ascii="Arial" w:hAnsi="Arial" w:cs="Arial"/>
                <w:b/>
                <w:smallCaps/>
                <w:sz w:val="18"/>
                <w:szCs w:val="18"/>
              </w:rPr>
              <w:t>Rodzaj SCO (standardowe stawki jednostkowe, kwoty ryczałtowe lub stawki ryczałtowe)</w:t>
            </w:r>
          </w:p>
        </w:tc>
        <w:tc>
          <w:tcPr>
            <w:tcW w:w="463" w:type="pct"/>
            <w:vMerge w:val="restart"/>
            <w:shd w:val="clear" w:color="auto" w:fill="FFFFFF"/>
            <w:vAlign w:val="center"/>
          </w:tcPr>
          <w:p w14:paraId="4CE1C3B4" w14:textId="77777777" w:rsidR="00BB247E" w:rsidRPr="00A70C6E" w:rsidRDefault="00BB247E" w:rsidP="007E08CA">
            <w:pPr>
              <w:pStyle w:val="Inne0"/>
              <w:spacing w:line="276" w:lineRule="auto"/>
              <w:jc w:val="center"/>
              <w:rPr>
                <w:rFonts w:ascii="Arial" w:hAnsi="Arial" w:cs="Arial"/>
                <w:b/>
                <w:smallCaps/>
                <w:sz w:val="18"/>
                <w:szCs w:val="18"/>
              </w:rPr>
            </w:pPr>
            <w:r w:rsidRPr="00A70C6E">
              <w:rPr>
                <w:rFonts w:ascii="Arial" w:hAnsi="Arial" w:cs="Arial"/>
                <w:b/>
                <w:smallCaps/>
                <w:sz w:val="18"/>
                <w:szCs w:val="18"/>
              </w:rPr>
              <w:t xml:space="preserve">Kwota (w </w:t>
            </w:r>
            <w:r w:rsidR="004C4FB4" w:rsidRPr="00A70C6E">
              <w:rPr>
                <w:rFonts w:ascii="Arial" w:hAnsi="Arial" w:cs="Arial"/>
                <w:b/>
                <w:smallCaps/>
                <w:sz w:val="18"/>
                <w:szCs w:val="18"/>
              </w:rPr>
              <w:t>PLN</w:t>
            </w:r>
            <w:r w:rsidRPr="00A70C6E">
              <w:rPr>
                <w:rFonts w:ascii="Arial" w:hAnsi="Arial" w:cs="Arial"/>
                <w:b/>
                <w:smallCaps/>
                <w:sz w:val="18"/>
                <w:szCs w:val="18"/>
              </w:rPr>
              <w:t xml:space="preserve">) lub wartość procentowa </w:t>
            </w:r>
            <w:r w:rsidRPr="00A70C6E">
              <w:rPr>
                <w:rFonts w:ascii="Arial" w:hAnsi="Arial" w:cs="Arial"/>
                <w:b/>
                <w:smallCaps/>
                <w:sz w:val="18"/>
                <w:szCs w:val="18"/>
              </w:rPr>
              <w:br/>
              <w:t>(w przypadku stawek ryczałtowych) SCO</w:t>
            </w:r>
          </w:p>
        </w:tc>
      </w:tr>
      <w:tr w:rsidR="00A70C6E" w:rsidRPr="00A70C6E" w14:paraId="0FCB5660" w14:textId="77777777" w:rsidTr="009C0301">
        <w:trPr>
          <w:trHeight w:val="57"/>
          <w:jc w:val="center"/>
        </w:trPr>
        <w:tc>
          <w:tcPr>
            <w:tcW w:w="410" w:type="pct"/>
            <w:vMerge/>
            <w:shd w:val="clear" w:color="auto" w:fill="FFFFFF"/>
            <w:vAlign w:val="center"/>
          </w:tcPr>
          <w:p w14:paraId="6BE42AE7" w14:textId="77777777" w:rsidR="00BB247E" w:rsidRPr="00A70C6E" w:rsidRDefault="00BB247E" w:rsidP="007E08CA">
            <w:pPr>
              <w:spacing w:before="120" w:after="120" w:line="276" w:lineRule="auto"/>
              <w:jc w:val="center"/>
              <w:rPr>
                <w:rFonts w:cs="Arial"/>
                <w:sz w:val="18"/>
                <w:szCs w:val="18"/>
              </w:rPr>
            </w:pPr>
          </w:p>
        </w:tc>
        <w:tc>
          <w:tcPr>
            <w:tcW w:w="264" w:type="pct"/>
            <w:vMerge/>
            <w:shd w:val="clear" w:color="auto" w:fill="FFFFFF"/>
            <w:vAlign w:val="center"/>
          </w:tcPr>
          <w:p w14:paraId="2B4EC2FA" w14:textId="77777777" w:rsidR="00BB247E" w:rsidRPr="00A70C6E" w:rsidRDefault="00BB247E" w:rsidP="007E08CA">
            <w:pPr>
              <w:spacing w:before="120" w:after="120" w:line="276" w:lineRule="auto"/>
              <w:jc w:val="center"/>
              <w:rPr>
                <w:rFonts w:cs="Arial"/>
                <w:sz w:val="18"/>
                <w:szCs w:val="18"/>
              </w:rPr>
            </w:pPr>
          </w:p>
        </w:tc>
        <w:tc>
          <w:tcPr>
            <w:tcW w:w="399" w:type="pct"/>
            <w:vMerge/>
            <w:shd w:val="clear" w:color="auto" w:fill="FFFFFF"/>
            <w:vAlign w:val="center"/>
          </w:tcPr>
          <w:p w14:paraId="079AA965" w14:textId="77777777" w:rsidR="00BB247E" w:rsidRPr="00A70C6E" w:rsidRDefault="00BB247E" w:rsidP="007E08CA">
            <w:pPr>
              <w:spacing w:before="120" w:after="120" w:line="276" w:lineRule="auto"/>
              <w:jc w:val="center"/>
              <w:rPr>
                <w:rFonts w:cs="Arial"/>
                <w:sz w:val="18"/>
                <w:szCs w:val="18"/>
              </w:rPr>
            </w:pPr>
          </w:p>
        </w:tc>
        <w:tc>
          <w:tcPr>
            <w:tcW w:w="393" w:type="pct"/>
            <w:vMerge/>
            <w:shd w:val="clear" w:color="auto" w:fill="FFFFFF"/>
            <w:vAlign w:val="center"/>
          </w:tcPr>
          <w:p w14:paraId="5361407C" w14:textId="77777777" w:rsidR="00BB247E" w:rsidRPr="00A70C6E" w:rsidRDefault="00BB247E" w:rsidP="007E08CA">
            <w:pPr>
              <w:spacing w:before="120" w:after="120" w:line="276" w:lineRule="auto"/>
              <w:jc w:val="center"/>
              <w:rPr>
                <w:rFonts w:cs="Arial"/>
                <w:sz w:val="18"/>
                <w:szCs w:val="18"/>
              </w:rPr>
            </w:pPr>
          </w:p>
        </w:tc>
        <w:tc>
          <w:tcPr>
            <w:tcW w:w="391" w:type="pct"/>
            <w:vMerge/>
            <w:shd w:val="clear" w:color="auto" w:fill="FFFFFF"/>
            <w:vAlign w:val="center"/>
          </w:tcPr>
          <w:p w14:paraId="54F3C91C" w14:textId="77777777" w:rsidR="00BB247E" w:rsidRPr="00A70C6E" w:rsidRDefault="00BB247E" w:rsidP="007E08CA">
            <w:pPr>
              <w:spacing w:before="120" w:after="120" w:line="276" w:lineRule="auto"/>
              <w:jc w:val="center"/>
              <w:rPr>
                <w:rFonts w:cs="Arial"/>
                <w:sz w:val="18"/>
                <w:szCs w:val="18"/>
              </w:rPr>
            </w:pPr>
          </w:p>
        </w:tc>
        <w:tc>
          <w:tcPr>
            <w:tcW w:w="149" w:type="pct"/>
            <w:shd w:val="clear" w:color="auto" w:fill="FFFFFF"/>
            <w:vAlign w:val="center"/>
          </w:tcPr>
          <w:p w14:paraId="27771EE0" w14:textId="77777777" w:rsidR="00BB247E" w:rsidRPr="00A70C6E" w:rsidRDefault="00BB247E" w:rsidP="007E08CA">
            <w:pPr>
              <w:pStyle w:val="Inne0"/>
              <w:spacing w:before="120" w:after="120" w:line="276" w:lineRule="auto"/>
              <w:jc w:val="center"/>
              <w:rPr>
                <w:rFonts w:ascii="Arial" w:hAnsi="Arial" w:cs="Arial"/>
                <w:smallCaps/>
                <w:sz w:val="18"/>
                <w:szCs w:val="18"/>
              </w:rPr>
            </w:pPr>
            <w:r w:rsidRPr="00A70C6E">
              <w:rPr>
                <w:rFonts w:ascii="Arial" w:hAnsi="Arial" w:cs="Arial"/>
                <w:smallCaps/>
                <w:sz w:val="18"/>
                <w:szCs w:val="18"/>
              </w:rPr>
              <w:t>Kod</w:t>
            </w:r>
            <w:r w:rsidRPr="00A70C6E">
              <w:rPr>
                <w:rStyle w:val="Odwoanieprzypisudolnego"/>
                <w:rFonts w:ascii="Arial" w:hAnsi="Arial" w:cs="Arial"/>
                <w:smallCaps/>
                <w:sz w:val="18"/>
                <w:szCs w:val="18"/>
              </w:rPr>
              <w:footnoteReference w:id="1"/>
            </w:r>
          </w:p>
        </w:tc>
        <w:tc>
          <w:tcPr>
            <w:tcW w:w="476" w:type="pct"/>
            <w:shd w:val="clear" w:color="auto" w:fill="FFFFFF"/>
            <w:vAlign w:val="center"/>
          </w:tcPr>
          <w:p w14:paraId="1FE839D7" w14:textId="77777777" w:rsidR="00BB247E" w:rsidRPr="00A70C6E" w:rsidRDefault="00BB247E" w:rsidP="007E08CA">
            <w:pPr>
              <w:pStyle w:val="Inne0"/>
              <w:spacing w:before="120" w:after="120" w:line="276" w:lineRule="auto"/>
              <w:jc w:val="center"/>
              <w:rPr>
                <w:rFonts w:ascii="Arial" w:hAnsi="Arial" w:cs="Arial"/>
                <w:smallCaps/>
                <w:sz w:val="18"/>
                <w:szCs w:val="18"/>
              </w:rPr>
            </w:pPr>
            <w:r w:rsidRPr="00A70C6E">
              <w:rPr>
                <w:rFonts w:ascii="Arial" w:hAnsi="Arial" w:cs="Arial"/>
                <w:smallCaps/>
                <w:sz w:val="18"/>
                <w:szCs w:val="18"/>
              </w:rPr>
              <w:t>Opis</w:t>
            </w:r>
          </w:p>
        </w:tc>
        <w:tc>
          <w:tcPr>
            <w:tcW w:w="225" w:type="pct"/>
            <w:shd w:val="clear" w:color="auto" w:fill="FFFFFF"/>
            <w:vAlign w:val="center"/>
          </w:tcPr>
          <w:p w14:paraId="2AFFA501" w14:textId="77777777" w:rsidR="00BB247E" w:rsidRPr="00A70C6E" w:rsidRDefault="00BB247E" w:rsidP="007E08CA">
            <w:pPr>
              <w:pStyle w:val="Inne0"/>
              <w:spacing w:before="120" w:after="120" w:line="276" w:lineRule="auto"/>
              <w:jc w:val="center"/>
              <w:rPr>
                <w:rFonts w:ascii="Arial" w:hAnsi="Arial" w:cs="Arial"/>
                <w:smallCaps/>
                <w:sz w:val="18"/>
                <w:szCs w:val="18"/>
              </w:rPr>
            </w:pPr>
            <w:r w:rsidRPr="00A70C6E">
              <w:rPr>
                <w:rFonts w:ascii="Arial" w:hAnsi="Arial" w:cs="Arial"/>
                <w:smallCaps/>
                <w:sz w:val="18"/>
                <w:szCs w:val="18"/>
              </w:rPr>
              <w:t>Kod</w:t>
            </w:r>
            <w:r w:rsidRPr="00A70C6E">
              <w:rPr>
                <w:rStyle w:val="Odwoanieprzypisudolnego"/>
                <w:rFonts w:ascii="Arial" w:hAnsi="Arial" w:cs="Arial"/>
                <w:smallCaps/>
                <w:sz w:val="18"/>
                <w:szCs w:val="18"/>
              </w:rPr>
              <w:footnoteReference w:id="2"/>
            </w:r>
          </w:p>
        </w:tc>
        <w:tc>
          <w:tcPr>
            <w:tcW w:w="873" w:type="pct"/>
            <w:shd w:val="clear" w:color="auto" w:fill="FFFFFF"/>
            <w:vAlign w:val="center"/>
          </w:tcPr>
          <w:p w14:paraId="2C69DE2C" w14:textId="77777777" w:rsidR="00BB247E" w:rsidRPr="00A70C6E" w:rsidRDefault="00BB247E" w:rsidP="007E08CA">
            <w:pPr>
              <w:pStyle w:val="Inne0"/>
              <w:spacing w:before="120" w:after="120" w:line="276" w:lineRule="auto"/>
              <w:jc w:val="center"/>
              <w:rPr>
                <w:rFonts w:ascii="Arial" w:hAnsi="Arial" w:cs="Arial"/>
                <w:smallCaps/>
                <w:sz w:val="18"/>
                <w:szCs w:val="18"/>
              </w:rPr>
            </w:pPr>
            <w:r w:rsidRPr="00A70C6E">
              <w:rPr>
                <w:rFonts w:ascii="Arial" w:hAnsi="Arial" w:cs="Arial"/>
                <w:smallCaps/>
                <w:sz w:val="18"/>
                <w:szCs w:val="18"/>
              </w:rPr>
              <w:t>Opis</w:t>
            </w:r>
          </w:p>
        </w:tc>
        <w:tc>
          <w:tcPr>
            <w:tcW w:w="527" w:type="pct"/>
            <w:vMerge/>
            <w:shd w:val="clear" w:color="auto" w:fill="FFFFFF"/>
            <w:vAlign w:val="center"/>
          </w:tcPr>
          <w:p w14:paraId="747D0A69" w14:textId="77777777" w:rsidR="00BB247E" w:rsidRPr="00A70C6E" w:rsidRDefault="00BB247E" w:rsidP="007E08CA">
            <w:pPr>
              <w:spacing w:before="120" w:after="120" w:line="276" w:lineRule="auto"/>
              <w:jc w:val="center"/>
              <w:rPr>
                <w:rFonts w:cs="Arial"/>
                <w:sz w:val="18"/>
                <w:szCs w:val="18"/>
              </w:rPr>
            </w:pPr>
          </w:p>
        </w:tc>
        <w:tc>
          <w:tcPr>
            <w:tcW w:w="429" w:type="pct"/>
            <w:vMerge/>
            <w:shd w:val="clear" w:color="auto" w:fill="FFFFFF"/>
            <w:vAlign w:val="center"/>
          </w:tcPr>
          <w:p w14:paraId="7C054278" w14:textId="77777777" w:rsidR="00BB247E" w:rsidRPr="00A70C6E" w:rsidRDefault="00BB247E" w:rsidP="007E08CA">
            <w:pPr>
              <w:spacing w:before="120" w:after="120" w:line="276" w:lineRule="auto"/>
              <w:jc w:val="center"/>
              <w:rPr>
                <w:rFonts w:cs="Arial"/>
                <w:sz w:val="18"/>
                <w:szCs w:val="18"/>
              </w:rPr>
            </w:pPr>
          </w:p>
        </w:tc>
        <w:tc>
          <w:tcPr>
            <w:tcW w:w="463" w:type="pct"/>
            <w:vMerge/>
            <w:shd w:val="clear" w:color="auto" w:fill="FFFFFF"/>
            <w:vAlign w:val="center"/>
          </w:tcPr>
          <w:p w14:paraId="70D3FE2F" w14:textId="77777777" w:rsidR="00BB247E" w:rsidRPr="00A70C6E" w:rsidRDefault="00BB247E" w:rsidP="007E08CA">
            <w:pPr>
              <w:spacing w:before="120" w:after="120" w:line="276" w:lineRule="auto"/>
              <w:jc w:val="center"/>
              <w:rPr>
                <w:rFonts w:cs="Arial"/>
                <w:sz w:val="18"/>
                <w:szCs w:val="18"/>
              </w:rPr>
            </w:pPr>
          </w:p>
        </w:tc>
      </w:tr>
      <w:tr w:rsidR="000E330F" w:rsidRPr="00A70C6E" w14:paraId="066BDA06" w14:textId="77777777" w:rsidTr="009C0301">
        <w:trPr>
          <w:trHeight w:val="57"/>
          <w:jc w:val="center"/>
        </w:trPr>
        <w:tc>
          <w:tcPr>
            <w:tcW w:w="410" w:type="pct"/>
            <w:shd w:val="clear" w:color="auto" w:fill="FFFFFF"/>
            <w:vAlign w:val="center"/>
          </w:tcPr>
          <w:p w14:paraId="63902D20" w14:textId="52D33F40" w:rsidR="000E330F" w:rsidRPr="00A70C6E" w:rsidRDefault="000E330F" w:rsidP="000E330F">
            <w:pPr>
              <w:spacing w:before="120" w:after="120" w:line="276" w:lineRule="auto"/>
              <w:jc w:val="center"/>
              <w:rPr>
                <w:rFonts w:cs="Arial"/>
                <w:sz w:val="18"/>
                <w:szCs w:val="18"/>
              </w:rPr>
            </w:pPr>
            <w:bookmarkStart w:id="0" w:name="_Hlk141804530"/>
            <w:r>
              <w:rPr>
                <w:rFonts w:cs="Arial"/>
                <w:sz w:val="18"/>
                <w:szCs w:val="18"/>
              </w:rPr>
              <w:t>06 FEPW</w:t>
            </w:r>
          </w:p>
        </w:tc>
        <w:tc>
          <w:tcPr>
            <w:tcW w:w="264" w:type="pct"/>
            <w:shd w:val="clear" w:color="auto" w:fill="FFFFFF"/>
            <w:vAlign w:val="center"/>
          </w:tcPr>
          <w:p w14:paraId="3FBCA98A" w14:textId="0D2E64E0" w:rsidR="000E330F" w:rsidRPr="00A70C6E" w:rsidRDefault="000E330F" w:rsidP="000E330F">
            <w:pPr>
              <w:spacing w:before="120" w:after="120" w:line="276" w:lineRule="auto"/>
              <w:jc w:val="center"/>
              <w:rPr>
                <w:rFonts w:cs="Arial"/>
                <w:sz w:val="18"/>
                <w:szCs w:val="18"/>
              </w:rPr>
            </w:pPr>
            <w:r>
              <w:rPr>
                <w:rFonts w:cs="Arial"/>
                <w:sz w:val="18"/>
                <w:szCs w:val="18"/>
              </w:rPr>
              <w:t>EFRR</w:t>
            </w:r>
          </w:p>
        </w:tc>
        <w:tc>
          <w:tcPr>
            <w:tcW w:w="399" w:type="pct"/>
            <w:shd w:val="clear" w:color="auto" w:fill="FFFFFF"/>
            <w:vAlign w:val="center"/>
          </w:tcPr>
          <w:p w14:paraId="110F3572" w14:textId="77777777" w:rsidR="000E330F" w:rsidRPr="009C0301" w:rsidRDefault="000E330F" w:rsidP="000E330F">
            <w:pPr>
              <w:spacing w:before="120" w:after="120" w:line="276" w:lineRule="auto"/>
              <w:jc w:val="center"/>
              <w:rPr>
                <w:rFonts w:cs="Arial"/>
                <w:b/>
                <w:sz w:val="18"/>
                <w:szCs w:val="18"/>
              </w:rPr>
            </w:pPr>
            <w:r>
              <w:rPr>
                <w:rFonts w:cs="Arial"/>
                <w:sz w:val="18"/>
                <w:szCs w:val="18"/>
              </w:rPr>
              <w:t xml:space="preserve">PT.1 - </w:t>
            </w:r>
            <w:r w:rsidRPr="009C0301">
              <w:rPr>
                <w:rFonts w:cs="Arial"/>
                <w:sz w:val="18"/>
                <w:szCs w:val="18"/>
              </w:rPr>
              <w:t>Pomoc Techniczna</w:t>
            </w:r>
          </w:p>
          <w:p w14:paraId="5C6F5132" w14:textId="77777777" w:rsidR="000E330F" w:rsidRPr="009C0301" w:rsidRDefault="000E330F" w:rsidP="000E330F">
            <w:pPr>
              <w:spacing w:before="120" w:after="120" w:line="276" w:lineRule="auto"/>
              <w:jc w:val="center"/>
              <w:rPr>
                <w:rFonts w:cs="Arial"/>
                <w:sz w:val="18"/>
                <w:szCs w:val="18"/>
              </w:rPr>
            </w:pPr>
          </w:p>
        </w:tc>
        <w:tc>
          <w:tcPr>
            <w:tcW w:w="393" w:type="pct"/>
            <w:shd w:val="clear" w:color="auto" w:fill="FFFFFF"/>
            <w:vAlign w:val="center"/>
          </w:tcPr>
          <w:p w14:paraId="358ACE72" w14:textId="282C001E" w:rsidR="000E330F" w:rsidRPr="00A70C6E" w:rsidRDefault="000E330F" w:rsidP="000E330F">
            <w:pPr>
              <w:spacing w:before="120" w:after="120" w:line="276" w:lineRule="auto"/>
              <w:jc w:val="center"/>
              <w:rPr>
                <w:rFonts w:cs="Arial"/>
                <w:sz w:val="18"/>
                <w:szCs w:val="18"/>
              </w:rPr>
            </w:pPr>
            <w:r>
              <w:rPr>
                <w:rFonts w:cs="Arial"/>
                <w:i/>
                <w:noProof/>
                <w:sz w:val="18"/>
                <w:szCs w:val="18"/>
              </w:rPr>
              <w:t>nie dotyczy</w:t>
            </w:r>
          </w:p>
        </w:tc>
        <w:tc>
          <w:tcPr>
            <w:tcW w:w="391" w:type="pct"/>
            <w:shd w:val="clear" w:color="auto" w:fill="FFFFFF"/>
            <w:vAlign w:val="center"/>
          </w:tcPr>
          <w:p w14:paraId="291EB8BE" w14:textId="77777777" w:rsidR="000E330F" w:rsidRPr="00A70C6E" w:rsidRDefault="000E330F" w:rsidP="000E330F">
            <w:pPr>
              <w:spacing w:before="120" w:after="120" w:line="276" w:lineRule="auto"/>
              <w:jc w:val="center"/>
              <w:rPr>
                <w:rFonts w:cs="Arial"/>
                <w:sz w:val="18"/>
                <w:szCs w:val="18"/>
              </w:rPr>
            </w:pPr>
          </w:p>
        </w:tc>
        <w:tc>
          <w:tcPr>
            <w:tcW w:w="149" w:type="pct"/>
            <w:shd w:val="clear" w:color="auto" w:fill="FFFFFF"/>
            <w:vAlign w:val="center"/>
          </w:tcPr>
          <w:p w14:paraId="1AA215E3" w14:textId="6F1D3D56" w:rsidR="000E330F" w:rsidRPr="00A70C6E" w:rsidRDefault="000E330F" w:rsidP="000E330F">
            <w:pPr>
              <w:spacing w:before="120" w:after="120" w:line="276" w:lineRule="auto"/>
              <w:jc w:val="center"/>
              <w:rPr>
                <w:rFonts w:cs="Arial"/>
                <w:sz w:val="18"/>
                <w:szCs w:val="18"/>
              </w:rPr>
            </w:pPr>
            <w:r>
              <w:rPr>
                <w:rFonts w:cs="Arial"/>
                <w:sz w:val="18"/>
                <w:szCs w:val="18"/>
              </w:rPr>
              <w:t>182</w:t>
            </w:r>
          </w:p>
        </w:tc>
        <w:tc>
          <w:tcPr>
            <w:tcW w:w="476" w:type="pct"/>
            <w:shd w:val="clear" w:color="auto" w:fill="FFFFFF"/>
            <w:vAlign w:val="center"/>
          </w:tcPr>
          <w:p w14:paraId="52A5451F" w14:textId="77777777" w:rsidR="000E330F" w:rsidRPr="00A70C6E" w:rsidRDefault="000E330F" w:rsidP="000E330F">
            <w:pPr>
              <w:spacing w:before="120" w:after="120" w:line="276" w:lineRule="auto"/>
              <w:jc w:val="center"/>
              <w:rPr>
                <w:rFonts w:cs="Arial"/>
                <w:b/>
                <w:sz w:val="18"/>
                <w:szCs w:val="18"/>
              </w:rPr>
            </w:pPr>
            <w:r w:rsidRPr="00A70C6E">
              <w:rPr>
                <w:rFonts w:cs="Arial"/>
                <w:sz w:val="18"/>
                <w:szCs w:val="18"/>
              </w:rPr>
              <w:t>Wzmocnienie potencjału instytucji państwa członkowskiego, beneficjentów i odpowiednich partnerów</w:t>
            </w:r>
          </w:p>
          <w:p w14:paraId="27AC8C02" w14:textId="77777777" w:rsidR="000E330F" w:rsidRPr="00A70C6E" w:rsidRDefault="000E330F" w:rsidP="000E330F">
            <w:pPr>
              <w:spacing w:before="120" w:after="120" w:line="276" w:lineRule="auto"/>
              <w:jc w:val="center"/>
              <w:rPr>
                <w:rFonts w:cs="Arial"/>
                <w:sz w:val="18"/>
                <w:szCs w:val="18"/>
              </w:rPr>
            </w:pPr>
          </w:p>
        </w:tc>
        <w:tc>
          <w:tcPr>
            <w:tcW w:w="225" w:type="pct"/>
            <w:shd w:val="clear" w:color="auto" w:fill="FFFFFF"/>
            <w:vAlign w:val="center"/>
          </w:tcPr>
          <w:p w14:paraId="21840125" w14:textId="29598756" w:rsidR="000E330F" w:rsidRPr="00A70C6E" w:rsidRDefault="000E330F" w:rsidP="000E330F">
            <w:pPr>
              <w:spacing w:before="120" w:after="120" w:line="276" w:lineRule="auto"/>
              <w:jc w:val="center"/>
              <w:rPr>
                <w:rFonts w:cs="Arial"/>
                <w:sz w:val="18"/>
                <w:szCs w:val="18"/>
              </w:rPr>
            </w:pPr>
            <w:r w:rsidRPr="00A70C6E">
              <w:rPr>
                <w:rFonts w:cs="Arial"/>
                <w:sz w:val="18"/>
                <w:szCs w:val="18"/>
              </w:rPr>
              <w:t>Nie dotyczy</w:t>
            </w:r>
          </w:p>
        </w:tc>
        <w:tc>
          <w:tcPr>
            <w:tcW w:w="873" w:type="pct"/>
            <w:shd w:val="clear" w:color="auto" w:fill="FFFFFF"/>
            <w:vAlign w:val="center"/>
          </w:tcPr>
          <w:p w14:paraId="602CA8CE" w14:textId="669EB2E5" w:rsidR="000E330F" w:rsidRPr="00A70C6E" w:rsidRDefault="000E330F" w:rsidP="000E330F">
            <w:pPr>
              <w:spacing w:before="120" w:after="120" w:line="276" w:lineRule="auto"/>
              <w:jc w:val="center"/>
              <w:rPr>
                <w:rFonts w:cs="Arial"/>
                <w:sz w:val="18"/>
                <w:szCs w:val="18"/>
              </w:rPr>
            </w:pPr>
            <w:r w:rsidRPr="00A70C6E">
              <w:rPr>
                <w:rFonts w:cs="Arial"/>
                <w:sz w:val="18"/>
                <w:szCs w:val="18"/>
              </w:rPr>
              <w:t>Liczba partnerów</w:t>
            </w:r>
            <w:r w:rsidR="002D05C7">
              <w:rPr>
                <w:rStyle w:val="Odwoanieprzypisudolnego"/>
                <w:rFonts w:cs="Arial"/>
                <w:sz w:val="18"/>
                <w:szCs w:val="18"/>
              </w:rPr>
              <w:footnoteReference w:id="3"/>
            </w:r>
            <w:r w:rsidRPr="00A70C6E">
              <w:rPr>
                <w:rFonts w:cs="Arial"/>
                <w:sz w:val="18"/>
                <w:szCs w:val="18"/>
              </w:rPr>
              <w:t xml:space="preserve"> KM, którzy podnieśli kompetencje związane z uczestnictwem w KM w roku kalendarzowym</w:t>
            </w:r>
          </w:p>
        </w:tc>
        <w:tc>
          <w:tcPr>
            <w:tcW w:w="527" w:type="pct"/>
            <w:shd w:val="clear" w:color="auto" w:fill="FFFFFF"/>
            <w:vAlign w:val="center"/>
          </w:tcPr>
          <w:p w14:paraId="2C54C1CD" w14:textId="0BC17E15" w:rsidR="000E330F" w:rsidRPr="00A70C6E" w:rsidRDefault="000E330F" w:rsidP="000E330F">
            <w:pPr>
              <w:spacing w:before="120" w:after="120" w:line="276" w:lineRule="auto"/>
              <w:jc w:val="center"/>
              <w:rPr>
                <w:rFonts w:cs="Arial"/>
                <w:sz w:val="18"/>
                <w:szCs w:val="18"/>
              </w:rPr>
            </w:pPr>
            <w:r w:rsidRPr="00A70C6E">
              <w:rPr>
                <w:rFonts w:cs="Arial"/>
                <w:sz w:val="18"/>
                <w:szCs w:val="18"/>
              </w:rPr>
              <w:t>sztuka</w:t>
            </w:r>
          </w:p>
        </w:tc>
        <w:tc>
          <w:tcPr>
            <w:tcW w:w="429" w:type="pct"/>
            <w:shd w:val="clear" w:color="auto" w:fill="FFFFFF"/>
            <w:vAlign w:val="center"/>
          </w:tcPr>
          <w:p w14:paraId="4A9B9C94" w14:textId="190EB463" w:rsidR="000E330F" w:rsidRPr="00A70C6E" w:rsidRDefault="000E330F" w:rsidP="000E330F">
            <w:pPr>
              <w:spacing w:before="120" w:after="120" w:line="276" w:lineRule="auto"/>
              <w:jc w:val="center"/>
              <w:rPr>
                <w:rFonts w:cs="Arial"/>
                <w:sz w:val="18"/>
                <w:szCs w:val="18"/>
              </w:rPr>
            </w:pPr>
            <w:r w:rsidRPr="00A70C6E">
              <w:rPr>
                <w:rFonts w:cs="Arial"/>
                <w:sz w:val="18"/>
                <w:szCs w:val="18"/>
              </w:rPr>
              <w:t>stawka jednostkowa</w:t>
            </w:r>
          </w:p>
        </w:tc>
        <w:tc>
          <w:tcPr>
            <w:tcW w:w="463" w:type="pct"/>
            <w:shd w:val="clear" w:color="auto" w:fill="FFFFFF"/>
            <w:vAlign w:val="center"/>
          </w:tcPr>
          <w:p w14:paraId="4ED2C211" w14:textId="1847FCBC" w:rsidR="000E330F" w:rsidRPr="00A70C6E" w:rsidRDefault="004C36C3" w:rsidP="000E330F">
            <w:pPr>
              <w:spacing w:before="120" w:after="120" w:line="276" w:lineRule="auto"/>
              <w:jc w:val="center"/>
              <w:rPr>
                <w:rFonts w:cs="Arial"/>
                <w:sz w:val="18"/>
                <w:szCs w:val="18"/>
              </w:rPr>
            </w:pPr>
            <w:r w:rsidRPr="004C36C3">
              <w:rPr>
                <w:rFonts w:cs="Arial"/>
                <w:sz w:val="18"/>
                <w:szCs w:val="18"/>
              </w:rPr>
              <w:t>4</w:t>
            </w:r>
            <w:r w:rsidR="00D96D3F">
              <w:rPr>
                <w:rFonts w:cs="Arial"/>
                <w:sz w:val="18"/>
                <w:szCs w:val="18"/>
              </w:rPr>
              <w:t> 2</w:t>
            </w:r>
            <w:r w:rsidR="00D96D3F">
              <w:rPr>
                <w:sz w:val="18"/>
                <w:szCs w:val="18"/>
              </w:rPr>
              <w:t xml:space="preserve">56 </w:t>
            </w:r>
            <w:r w:rsidR="000E330F" w:rsidRPr="004C36C3">
              <w:rPr>
                <w:rFonts w:cs="Arial"/>
                <w:sz w:val="18"/>
                <w:szCs w:val="18"/>
              </w:rPr>
              <w:t>PLN</w:t>
            </w:r>
          </w:p>
        </w:tc>
      </w:tr>
      <w:tr w:rsidR="000E330F" w:rsidRPr="00A70C6E" w14:paraId="62AD6458" w14:textId="77777777" w:rsidTr="009C0301">
        <w:trPr>
          <w:trHeight w:val="57"/>
          <w:jc w:val="center"/>
        </w:trPr>
        <w:tc>
          <w:tcPr>
            <w:tcW w:w="410" w:type="pct"/>
            <w:shd w:val="clear" w:color="auto" w:fill="FFFFFF"/>
            <w:vAlign w:val="center"/>
          </w:tcPr>
          <w:p w14:paraId="6541ABD7" w14:textId="7BE10504" w:rsidR="000E330F" w:rsidRDefault="000E330F" w:rsidP="000E330F">
            <w:pPr>
              <w:spacing w:before="120" w:after="120" w:line="276" w:lineRule="auto"/>
              <w:jc w:val="center"/>
              <w:rPr>
                <w:rFonts w:cs="Arial"/>
                <w:sz w:val="18"/>
                <w:szCs w:val="18"/>
              </w:rPr>
            </w:pPr>
            <w:r>
              <w:rPr>
                <w:rFonts w:cs="Arial"/>
                <w:sz w:val="18"/>
                <w:szCs w:val="18"/>
              </w:rPr>
              <w:lastRenderedPageBreak/>
              <w:t>06 FEPW</w:t>
            </w:r>
          </w:p>
        </w:tc>
        <w:tc>
          <w:tcPr>
            <w:tcW w:w="264" w:type="pct"/>
            <w:shd w:val="clear" w:color="auto" w:fill="FFFFFF"/>
            <w:vAlign w:val="center"/>
          </w:tcPr>
          <w:p w14:paraId="236A5523" w14:textId="028A6DF5" w:rsidR="000E330F" w:rsidRDefault="000E330F" w:rsidP="000E330F">
            <w:pPr>
              <w:spacing w:before="120" w:after="120" w:line="276" w:lineRule="auto"/>
              <w:jc w:val="center"/>
              <w:rPr>
                <w:rFonts w:cs="Arial"/>
                <w:sz w:val="18"/>
                <w:szCs w:val="18"/>
              </w:rPr>
            </w:pPr>
            <w:r>
              <w:rPr>
                <w:rFonts w:cs="Arial"/>
                <w:sz w:val="18"/>
                <w:szCs w:val="18"/>
              </w:rPr>
              <w:t>EFRR</w:t>
            </w:r>
          </w:p>
        </w:tc>
        <w:tc>
          <w:tcPr>
            <w:tcW w:w="399" w:type="pct"/>
            <w:shd w:val="clear" w:color="auto" w:fill="FFFFFF"/>
            <w:vAlign w:val="center"/>
          </w:tcPr>
          <w:p w14:paraId="13A8FB17" w14:textId="77777777" w:rsidR="000E330F" w:rsidRPr="009C0301" w:rsidRDefault="000E330F" w:rsidP="000E330F">
            <w:pPr>
              <w:spacing w:before="120" w:after="120" w:line="276" w:lineRule="auto"/>
              <w:jc w:val="center"/>
              <w:rPr>
                <w:rFonts w:cs="Arial"/>
                <w:b/>
                <w:sz w:val="18"/>
                <w:szCs w:val="18"/>
              </w:rPr>
            </w:pPr>
            <w:r>
              <w:rPr>
                <w:rFonts w:cs="Arial"/>
                <w:sz w:val="18"/>
                <w:szCs w:val="18"/>
              </w:rPr>
              <w:t xml:space="preserve">PT.1 - </w:t>
            </w:r>
            <w:r w:rsidRPr="009C0301">
              <w:rPr>
                <w:rFonts w:cs="Arial"/>
                <w:sz w:val="18"/>
                <w:szCs w:val="18"/>
              </w:rPr>
              <w:t>Pomoc Techniczna</w:t>
            </w:r>
          </w:p>
          <w:p w14:paraId="4150F296" w14:textId="77777777" w:rsidR="000E330F" w:rsidRDefault="000E330F" w:rsidP="000E330F">
            <w:pPr>
              <w:spacing w:before="120" w:after="120" w:line="276" w:lineRule="auto"/>
              <w:jc w:val="center"/>
              <w:rPr>
                <w:rFonts w:cs="Arial"/>
                <w:sz w:val="18"/>
                <w:szCs w:val="18"/>
              </w:rPr>
            </w:pPr>
          </w:p>
        </w:tc>
        <w:tc>
          <w:tcPr>
            <w:tcW w:w="393" w:type="pct"/>
            <w:shd w:val="clear" w:color="auto" w:fill="FFFFFF"/>
            <w:vAlign w:val="center"/>
          </w:tcPr>
          <w:p w14:paraId="59773A49" w14:textId="54B565D7" w:rsidR="000E330F" w:rsidRDefault="000E330F" w:rsidP="000E330F">
            <w:pPr>
              <w:spacing w:before="120" w:after="120" w:line="276" w:lineRule="auto"/>
              <w:jc w:val="center"/>
              <w:rPr>
                <w:rFonts w:cs="Arial"/>
                <w:i/>
                <w:noProof/>
                <w:sz w:val="18"/>
                <w:szCs w:val="18"/>
              </w:rPr>
            </w:pPr>
            <w:r>
              <w:rPr>
                <w:rFonts w:cs="Arial"/>
                <w:i/>
                <w:noProof/>
                <w:sz w:val="18"/>
                <w:szCs w:val="18"/>
              </w:rPr>
              <w:t>nie dotyczy</w:t>
            </w:r>
          </w:p>
        </w:tc>
        <w:tc>
          <w:tcPr>
            <w:tcW w:w="391" w:type="pct"/>
            <w:shd w:val="clear" w:color="auto" w:fill="FFFFFF"/>
            <w:vAlign w:val="center"/>
          </w:tcPr>
          <w:p w14:paraId="4E03DB89" w14:textId="77777777" w:rsidR="000E330F" w:rsidRPr="00A70C6E" w:rsidRDefault="000E330F" w:rsidP="000E330F">
            <w:pPr>
              <w:spacing w:before="120" w:after="120" w:line="276" w:lineRule="auto"/>
              <w:jc w:val="center"/>
              <w:rPr>
                <w:rFonts w:cs="Arial"/>
                <w:sz w:val="18"/>
                <w:szCs w:val="18"/>
              </w:rPr>
            </w:pPr>
          </w:p>
        </w:tc>
        <w:tc>
          <w:tcPr>
            <w:tcW w:w="149" w:type="pct"/>
            <w:shd w:val="clear" w:color="auto" w:fill="FFFFFF"/>
            <w:vAlign w:val="center"/>
          </w:tcPr>
          <w:p w14:paraId="0509E885" w14:textId="4E10DAB2" w:rsidR="000E330F" w:rsidRPr="00A70C6E" w:rsidRDefault="000E330F" w:rsidP="000E330F">
            <w:pPr>
              <w:spacing w:before="120" w:after="120" w:line="276" w:lineRule="auto"/>
              <w:jc w:val="center"/>
              <w:rPr>
                <w:rFonts w:cs="Arial"/>
                <w:sz w:val="18"/>
                <w:szCs w:val="18"/>
              </w:rPr>
            </w:pPr>
            <w:r w:rsidRPr="00A70C6E">
              <w:rPr>
                <w:rFonts w:cs="Arial"/>
                <w:sz w:val="18"/>
                <w:szCs w:val="18"/>
              </w:rPr>
              <w:t>182</w:t>
            </w:r>
          </w:p>
        </w:tc>
        <w:tc>
          <w:tcPr>
            <w:tcW w:w="476" w:type="pct"/>
            <w:shd w:val="clear" w:color="auto" w:fill="FFFFFF"/>
            <w:vAlign w:val="center"/>
          </w:tcPr>
          <w:p w14:paraId="77A2C696" w14:textId="77777777" w:rsidR="000E330F" w:rsidRPr="00A70C6E" w:rsidRDefault="000E330F" w:rsidP="000E330F">
            <w:pPr>
              <w:spacing w:before="120" w:after="120" w:line="276" w:lineRule="auto"/>
              <w:jc w:val="center"/>
              <w:rPr>
                <w:rFonts w:cs="Arial"/>
                <w:b/>
                <w:sz w:val="18"/>
                <w:szCs w:val="18"/>
              </w:rPr>
            </w:pPr>
            <w:r w:rsidRPr="00A70C6E">
              <w:rPr>
                <w:rFonts w:cs="Arial"/>
                <w:sz w:val="18"/>
                <w:szCs w:val="18"/>
              </w:rPr>
              <w:t>Wzmocnienie potencjału instytucji państwa członkowskiego, beneficjentów i odpowiednich partnerów</w:t>
            </w:r>
          </w:p>
          <w:p w14:paraId="6829F04F" w14:textId="77777777" w:rsidR="000E330F" w:rsidRPr="00A70C6E" w:rsidRDefault="000E330F" w:rsidP="000E330F">
            <w:pPr>
              <w:spacing w:before="120" w:after="120" w:line="276" w:lineRule="auto"/>
              <w:jc w:val="center"/>
              <w:rPr>
                <w:rFonts w:cs="Arial"/>
                <w:sz w:val="18"/>
                <w:szCs w:val="18"/>
              </w:rPr>
            </w:pPr>
          </w:p>
        </w:tc>
        <w:tc>
          <w:tcPr>
            <w:tcW w:w="225" w:type="pct"/>
            <w:shd w:val="clear" w:color="auto" w:fill="FFFFFF"/>
            <w:vAlign w:val="center"/>
          </w:tcPr>
          <w:p w14:paraId="2BF4F72B" w14:textId="3AA96639" w:rsidR="000E330F" w:rsidRPr="00A70C6E" w:rsidRDefault="000E330F" w:rsidP="000E330F">
            <w:pPr>
              <w:spacing w:before="120" w:after="120" w:line="276" w:lineRule="auto"/>
              <w:jc w:val="center"/>
              <w:rPr>
                <w:rFonts w:cs="Arial"/>
                <w:sz w:val="18"/>
                <w:szCs w:val="18"/>
              </w:rPr>
            </w:pPr>
            <w:r w:rsidRPr="00A70C6E">
              <w:rPr>
                <w:rFonts w:cs="Arial"/>
                <w:sz w:val="18"/>
                <w:szCs w:val="18"/>
              </w:rPr>
              <w:t>Nie dotyczy</w:t>
            </w:r>
          </w:p>
        </w:tc>
        <w:tc>
          <w:tcPr>
            <w:tcW w:w="873" w:type="pct"/>
            <w:shd w:val="clear" w:color="auto" w:fill="FFFFFF"/>
            <w:vAlign w:val="center"/>
          </w:tcPr>
          <w:p w14:paraId="6FBAF8BF" w14:textId="0FC36AC2" w:rsidR="000E330F" w:rsidRDefault="000E330F" w:rsidP="000E330F">
            <w:pPr>
              <w:spacing w:before="120" w:after="120" w:line="276" w:lineRule="auto"/>
              <w:jc w:val="center"/>
              <w:rPr>
                <w:rFonts w:cs="Arial"/>
                <w:sz w:val="18"/>
                <w:szCs w:val="18"/>
              </w:rPr>
            </w:pPr>
            <w:r>
              <w:rPr>
                <w:rFonts w:cs="Arial"/>
                <w:sz w:val="18"/>
                <w:szCs w:val="18"/>
              </w:rPr>
              <w:t>Liczba k</w:t>
            </w:r>
            <w:r w:rsidRPr="00A70C6E">
              <w:rPr>
                <w:rFonts w:cs="Arial"/>
                <w:sz w:val="18"/>
                <w:szCs w:val="18"/>
              </w:rPr>
              <w:t>onsultacj</w:t>
            </w:r>
            <w:r>
              <w:rPr>
                <w:rFonts w:cs="Arial"/>
                <w:sz w:val="18"/>
                <w:szCs w:val="18"/>
              </w:rPr>
              <w:t>i</w:t>
            </w:r>
            <w:r w:rsidRPr="00A70C6E">
              <w:rPr>
                <w:rFonts w:cs="Arial"/>
                <w:sz w:val="18"/>
                <w:szCs w:val="18"/>
              </w:rPr>
              <w:t xml:space="preserve"> ze środowiskiem przeprowadzon</w:t>
            </w:r>
            <w:r>
              <w:rPr>
                <w:rFonts w:cs="Arial"/>
                <w:sz w:val="18"/>
                <w:szCs w:val="18"/>
              </w:rPr>
              <w:t>ych</w:t>
            </w:r>
            <w:r w:rsidRPr="00A70C6E">
              <w:rPr>
                <w:rFonts w:cs="Arial"/>
                <w:sz w:val="18"/>
                <w:szCs w:val="18"/>
              </w:rPr>
              <w:t xml:space="preserve"> przez partnera KM </w:t>
            </w:r>
          </w:p>
        </w:tc>
        <w:tc>
          <w:tcPr>
            <w:tcW w:w="527" w:type="pct"/>
            <w:shd w:val="clear" w:color="auto" w:fill="FFFFFF"/>
            <w:vAlign w:val="center"/>
          </w:tcPr>
          <w:p w14:paraId="72E5A634" w14:textId="56E343FB" w:rsidR="000E330F" w:rsidRPr="00A70C6E" w:rsidRDefault="000E330F" w:rsidP="000E330F">
            <w:pPr>
              <w:spacing w:before="120" w:after="120" w:line="276" w:lineRule="auto"/>
              <w:jc w:val="center"/>
              <w:rPr>
                <w:rFonts w:cs="Arial"/>
                <w:sz w:val="18"/>
                <w:szCs w:val="18"/>
              </w:rPr>
            </w:pPr>
            <w:r w:rsidRPr="00A70C6E">
              <w:rPr>
                <w:rFonts w:cs="Arial"/>
                <w:sz w:val="18"/>
                <w:szCs w:val="18"/>
              </w:rPr>
              <w:t xml:space="preserve">sztuka </w:t>
            </w:r>
          </w:p>
        </w:tc>
        <w:tc>
          <w:tcPr>
            <w:tcW w:w="429" w:type="pct"/>
            <w:shd w:val="clear" w:color="auto" w:fill="FFFFFF"/>
            <w:vAlign w:val="center"/>
          </w:tcPr>
          <w:p w14:paraId="6F260B9A" w14:textId="67B3D42A" w:rsidR="000E330F" w:rsidRPr="00A70C6E" w:rsidRDefault="000E330F" w:rsidP="000E330F">
            <w:pPr>
              <w:spacing w:before="120" w:after="120" w:line="276" w:lineRule="auto"/>
              <w:jc w:val="center"/>
              <w:rPr>
                <w:rFonts w:cs="Arial"/>
                <w:sz w:val="18"/>
                <w:szCs w:val="18"/>
              </w:rPr>
            </w:pPr>
            <w:r w:rsidRPr="00A70C6E">
              <w:rPr>
                <w:rFonts w:cs="Arial"/>
                <w:sz w:val="18"/>
                <w:szCs w:val="18"/>
              </w:rPr>
              <w:t>stawka jednostkowa</w:t>
            </w:r>
          </w:p>
        </w:tc>
        <w:tc>
          <w:tcPr>
            <w:tcW w:w="463" w:type="pct"/>
            <w:shd w:val="clear" w:color="auto" w:fill="FFFFFF"/>
            <w:vAlign w:val="center"/>
          </w:tcPr>
          <w:p w14:paraId="219816BF" w14:textId="202B8DD1" w:rsidR="000E330F" w:rsidRPr="00356096" w:rsidRDefault="00426712" w:rsidP="000E330F">
            <w:pPr>
              <w:spacing w:before="120" w:after="120" w:line="276" w:lineRule="auto"/>
              <w:jc w:val="center"/>
              <w:rPr>
                <w:rFonts w:cs="Arial"/>
                <w:sz w:val="18"/>
                <w:szCs w:val="18"/>
              </w:rPr>
            </w:pPr>
            <w:r>
              <w:rPr>
                <w:rFonts w:cs="Arial"/>
                <w:sz w:val="18"/>
                <w:szCs w:val="18"/>
              </w:rPr>
              <w:t>5 320</w:t>
            </w:r>
            <w:r w:rsidR="000E330F" w:rsidRPr="00A70C6E">
              <w:rPr>
                <w:rFonts w:cs="Arial"/>
                <w:sz w:val="18"/>
                <w:szCs w:val="18"/>
              </w:rPr>
              <w:t xml:space="preserve"> PLN</w:t>
            </w:r>
          </w:p>
        </w:tc>
      </w:tr>
      <w:tr w:rsidR="000E330F" w:rsidRPr="00A70C6E" w14:paraId="0BC9CDB6" w14:textId="77777777" w:rsidTr="009C0301">
        <w:trPr>
          <w:trHeight w:val="57"/>
          <w:jc w:val="center"/>
        </w:trPr>
        <w:tc>
          <w:tcPr>
            <w:tcW w:w="410" w:type="pct"/>
            <w:shd w:val="clear" w:color="auto" w:fill="FFFFFF"/>
            <w:vAlign w:val="center"/>
          </w:tcPr>
          <w:p w14:paraId="70104891" w14:textId="1264B7BF" w:rsidR="000E330F" w:rsidRPr="00A70C6E" w:rsidRDefault="000E330F" w:rsidP="000E330F">
            <w:pPr>
              <w:spacing w:before="120" w:after="120" w:line="276" w:lineRule="auto"/>
              <w:jc w:val="center"/>
              <w:rPr>
                <w:rFonts w:cs="Arial"/>
                <w:sz w:val="18"/>
                <w:szCs w:val="18"/>
              </w:rPr>
            </w:pPr>
            <w:r>
              <w:rPr>
                <w:rFonts w:cs="Arial"/>
                <w:sz w:val="18"/>
                <w:szCs w:val="18"/>
              </w:rPr>
              <w:t>06 FEPW</w:t>
            </w:r>
          </w:p>
        </w:tc>
        <w:tc>
          <w:tcPr>
            <w:tcW w:w="264" w:type="pct"/>
            <w:shd w:val="clear" w:color="auto" w:fill="FFFFFF"/>
            <w:vAlign w:val="center"/>
          </w:tcPr>
          <w:p w14:paraId="3BBCD6AA" w14:textId="01B4F66E" w:rsidR="000E330F" w:rsidRPr="00A70C6E" w:rsidRDefault="000E330F" w:rsidP="000E330F">
            <w:pPr>
              <w:spacing w:before="120" w:after="120" w:line="276" w:lineRule="auto"/>
              <w:jc w:val="center"/>
              <w:rPr>
                <w:rFonts w:cs="Arial"/>
                <w:sz w:val="18"/>
                <w:szCs w:val="18"/>
              </w:rPr>
            </w:pPr>
            <w:r>
              <w:rPr>
                <w:rFonts w:cs="Arial"/>
                <w:sz w:val="18"/>
                <w:szCs w:val="18"/>
              </w:rPr>
              <w:t>EFRR</w:t>
            </w:r>
          </w:p>
        </w:tc>
        <w:tc>
          <w:tcPr>
            <w:tcW w:w="399" w:type="pct"/>
            <w:shd w:val="clear" w:color="auto" w:fill="FFFFFF"/>
            <w:vAlign w:val="center"/>
          </w:tcPr>
          <w:p w14:paraId="5684187D" w14:textId="333379F1" w:rsidR="000E330F" w:rsidRPr="009C0301" w:rsidRDefault="000E330F" w:rsidP="000E330F">
            <w:pPr>
              <w:spacing w:before="120" w:after="120" w:line="276" w:lineRule="auto"/>
              <w:jc w:val="center"/>
              <w:rPr>
                <w:rFonts w:cs="Arial"/>
                <w:b/>
                <w:sz w:val="18"/>
                <w:szCs w:val="18"/>
              </w:rPr>
            </w:pPr>
            <w:r>
              <w:rPr>
                <w:rFonts w:cs="Arial"/>
                <w:sz w:val="18"/>
                <w:szCs w:val="18"/>
              </w:rPr>
              <w:t xml:space="preserve">PT.1 - </w:t>
            </w:r>
            <w:r w:rsidRPr="009C0301">
              <w:rPr>
                <w:rFonts w:cs="Arial"/>
                <w:sz w:val="18"/>
                <w:szCs w:val="18"/>
              </w:rPr>
              <w:t>Pomoc Techniczna</w:t>
            </w:r>
          </w:p>
          <w:p w14:paraId="24AC605C" w14:textId="77777777" w:rsidR="000E330F" w:rsidRPr="009C0301" w:rsidRDefault="000E330F" w:rsidP="000E330F">
            <w:pPr>
              <w:spacing w:before="120" w:after="120" w:line="276" w:lineRule="auto"/>
              <w:jc w:val="center"/>
              <w:rPr>
                <w:rFonts w:cs="Arial"/>
                <w:sz w:val="18"/>
                <w:szCs w:val="18"/>
              </w:rPr>
            </w:pPr>
          </w:p>
        </w:tc>
        <w:tc>
          <w:tcPr>
            <w:tcW w:w="393" w:type="pct"/>
            <w:shd w:val="clear" w:color="auto" w:fill="FFFFFF"/>
            <w:vAlign w:val="center"/>
          </w:tcPr>
          <w:p w14:paraId="03F960F3" w14:textId="53BDE2AF" w:rsidR="000E330F" w:rsidRPr="00A70C6E" w:rsidRDefault="000E330F" w:rsidP="000E330F">
            <w:pPr>
              <w:spacing w:before="120" w:after="120" w:line="276" w:lineRule="auto"/>
              <w:jc w:val="center"/>
              <w:rPr>
                <w:rFonts w:cs="Arial"/>
                <w:i/>
                <w:sz w:val="18"/>
                <w:szCs w:val="18"/>
              </w:rPr>
            </w:pPr>
            <w:r>
              <w:rPr>
                <w:rFonts w:cs="Arial"/>
                <w:i/>
                <w:noProof/>
                <w:sz w:val="18"/>
                <w:szCs w:val="18"/>
              </w:rPr>
              <w:t>nie dotyczy</w:t>
            </w:r>
          </w:p>
        </w:tc>
        <w:tc>
          <w:tcPr>
            <w:tcW w:w="391" w:type="pct"/>
            <w:shd w:val="clear" w:color="auto" w:fill="FFFFFF"/>
            <w:vAlign w:val="center"/>
          </w:tcPr>
          <w:p w14:paraId="1108EE3F" w14:textId="77777777" w:rsidR="000E330F" w:rsidRPr="00A70C6E" w:rsidRDefault="000E330F" w:rsidP="000E330F">
            <w:pPr>
              <w:spacing w:before="120" w:after="120" w:line="276" w:lineRule="auto"/>
              <w:jc w:val="center"/>
              <w:rPr>
                <w:rFonts w:cs="Arial"/>
                <w:sz w:val="18"/>
                <w:szCs w:val="18"/>
              </w:rPr>
            </w:pPr>
          </w:p>
        </w:tc>
        <w:tc>
          <w:tcPr>
            <w:tcW w:w="149" w:type="pct"/>
            <w:shd w:val="clear" w:color="auto" w:fill="FFFFFF"/>
            <w:vAlign w:val="center"/>
          </w:tcPr>
          <w:p w14:paraId="1EA8A18F" w14:textId="77777777" w:rsidR="000E330F" w:rsidRPr="00A70C6E" w:rsidRDefault="000E330F" w:rsidP="000E330F">
            <w:pPr>
              <w:spacing w:before="120" w:after="120" w:line="276" w:lineRule="auto"/>
              <w:jc w:val="center"/>
              <w:rPr>
                <w:rFonts w:cs="Arial"/>
                <w:sz w:val="18"/>
                <w:szCs w:val="18"/>
              </w:rPr>
            </w:pPr>
            <w:r w:rsidRPr="00A70C6E">
              <w:rPr>
                <w:rFonts w:cs="Arial"/>
                <w:sz w:val="18"/>
                <w:szCs w:val="18"/>
              </w:rPr>
              <w:t>182</w:t>
            </w:r>
          </w:p>
        </w:tc>
        <w:tc>
          <w:tcPr>
            <w:tcW w:w="476" w:type="pct"/>
            <w:shd w:val="clear" w:color="auto" w:fill="FFFFFF"/>
            <w:vAlign w:val="center"/>
          </w:tcPr>
          <w:p w14:paraId="464AA70B" w14:textId="77777777" w:rsidR="000E330F" w:rsidRPr="00A70C6E" w:rsidRDefault="000E330F" w:rsidP="000E330F">
            <w:pPr>
              <w:spacing w:before="120" w:after="120" w:line="276" w:lineRule="auto"/>
              <w:jc w:val="center"/>
              <w:rPr>
                <w:rFonts w:cs="Arial"/>
                <w:b/>
                <w:sz w:val="18"/>
                <w:szCs w:val="18"/>
              </w:rPr>
            </w:pPr>
            <w:r w:rsidRPr="00A70C6E">
              <w:rPr>
                <w:rFonts w:cs="Arial"/>
                <w:sz w:val="18"/>
                <w:szCs w:val="18"/>
              </w:rPr>
              <w:t>Wzmocnienie potencjału instytucji państwa członkowskiego, beneficjentów i odpowiednich partnerów</w:t>
            </w:r>
          </w:p>
          <w:p w14:paraId="38F71E66" w14:textId="77777777" w:rsidR="000E330F" w:rsidRPr="00A70C6E" w:rsidRDefault="000E330F" w:rsidP="000E330F">
            <w:pPr>
              <w:spacing w:before="120" w:after="120" w:line="276" w:lineRule="auto"/>
              <w:jc w:val="center"/>
              <w:rPr>
                <w:rFonts w:cs="Arial"/>
                <w:sz w:val="18"/>
                <w:szCs w:val="18"/>
              </w:rPr>
            </w:pPr>
          </w:p>
        </w:tc>
        <w:tc>
          <w:tcPr>
            <w:tcW w:w="225" w:type="pct"/>
            <w:shd w:val="clear" w:color="auto" w:fill="FFFFFF"/>
            <w:vAlign w:val="center"/>
          </w:tcPr>
          <w:p w14:paraId="7B55FAE1" w14:textId="77777777" w:rsidR="000E330F" w:rsidRPr="00A70C6E" w:rsidRDefault="000E330F" w:rsidP="000E330F">
            <w:pPr>
              <w:spacing w:before="120" w:after="120" w:line="276" w:lineRule="auto"/>
              <w:jc w:val="center"/>
              <w:rPr>
                <w:rFonts w:cs="Arial"/>
                <w:sz w:val="18"/>
                <w:szCs w:val="18"/>
              </w:rPr>
            </w:pPr>
            <w:r w:rsidRPr="00A70C6E">
              <w:rPr>
                <w:rFonts w:cs="Arial"/>
                <w:sz w:val="18"/>
                <w:szCs w:val="18"/>
              </w:rPr>
              <w:t>Nie dotyczy</w:t>
            </w:r>
          </w:p>
        </w:tc>
        <w:tc>
          <w:tcPr>
            <w:tcW w:w="873" w:type="pct"/>
            <w:shd w:val="clear" w:color="auto" w:fill="FFFFFF"/>
            <w:vAlign w:val="center"/>
          </w:tcPr>
          <w:p w14:paraId="2C86830C" w14:textId="77777777" w:rsidR="000E330F" w:rsidRPr="00A70C6E" w:rsidRDefault="000E330F" w:rsidP="000E330F">
            <w:pPr>
              <w:spacing w:before="120" w:after="120" w:line="276" w:lineRule="auto"/>
              <w:jc w:val="center"/>
              <w:rPr>
                <w:rFonts w:cs="Arial"/>
                <w:sz w:val="18"/>
                <w:szCs w:val="18"/>
              </w:rPr>
            </w:pPr>
            <w:r w:rsidRPr="00A70C6E">
              <w:rPr>
                <w:rFonts w:cs="Arial"/>
                <w:sz w:val="18"/>
                <w:szCs w:val="18"/>
              </w:rPr>
              <w:t>Liczba godzin zewnętrznego wsparcia doradczego dla partnera KM</w:t>
            </w:r>
          </w:p>
        </w:tc>
        <w:tc>
          <w:tcPr>
            <w:tcW w:w="527" w:type="pct"/>
            <w:shd w:val="clear" w:color="auto" w:fill="FFFFFF"/>
            <w:vAlign w:val="center"/>
          </w:tcPr>
          <w:p w14:paraId="3F5E4032" w14:textId="77777777" w:rsidR="000E330F" w:rsidRPr="00A70C6E" w:rsidRDefault="000E330F" w:rsidP="000E330F">
            <w:pPr>
              <w:spacing w:before="120" w:after="120" w:line="276" w:lineRule="auto"/>
              <w:jc w:val="center"/>
              <w:rPr>
                <w:rFonts w:cs="Arial"/>
                <w:sz w:val="18"/>
                <w:szCs w:val="18"/>
              </w:rPr>
            </w:pPr>
            <w:r w:rsidRPr="00A70C6E">
              <w:rPr>
                <w:rFonts w:cs="Arial"/>
                <w:sz w:val="18"/>
                <w:szCs w:val="18"/>
              </w:rPr>
              <w:t>godzina zegarowa</w:t>
            </w:r>
          </w:p>
        </w:tc>
        <w:tc>
          <w:tcPr>
            <w:tcW w:w="429" w:type="pct"/>
            <w:shd w:val="clear" w:color="auto" w:fill="FFFFFF"/>
            <w:vAlign w:val="center"/>
          </w:tcPr>
          <w:p w14:paraId="1DD19A07" w14:textId="77777777" w:rsidR="000E330F" w:rsidRPr="00A70C6E" w:rsidRDefault="000E330F" w:rsidP="000E330F">
            <w:pPr>
              <w:spacing w:before="120" w:after="120" w:line="276" w:lineRule="auto"/>
              <w:jc w:val="center"/>
              <w:rPr>
                <w:rFonts w:cs="Arial"/>
                <w:sz w:val="18"/>
                <w:szCs w:val="18"/>
              </w:rPr>
            </w:pPr>
            <w:r w:rsidRPr="00A70C6E">
              <w:rPr>
                <w:rFonts w:cs="Arial"/>
                <w:sz w:val="18"/>
                <w:szCs w:val="18"/>
              </w:rPr>
              <w:t>stawka jednostkowa</w:t>
            </w:r>
          </w:p>
        </w:tc>
        <w:tc>
          <w:tcPr>
            <w:tcW w:w="463" w:type="pct"/>
            <w:shd w:val="clear" w:color="auto" w:fill="FFFFFF"/>
            <w:vAlign w:val="center"/>
          </w:tcPr>
          <w:p w14:paraId="0D0ECC8C" w14:textId="1B0A7C71" w:rsidR="000E330F" w:rsidRPr="00A70C6E" w:rsidRDefault="00BB4017" w:rsidP="000E330F">
            <w:pPr>
              <w:spacing w:before="120" w:after="120" w:line="276" w:lineRule="auto"/>
              <w:jc w:val="center"/>
              <w:rPr>
                <w:rFonts w:cs="Arial"/>
                <w:sz w:val="18"/>
                <w:szCs w:val="18"/>
              </w:rPr>
            </w:pPr>
            <w:r w:rsidRPr="00BB4017">
              <w:rPr>
                <w:rFonts w:cs="Arial"/>
                <w:sz w:val="18"/>
                <w:szCs w:val="18"/>
              </w:rPr>
              <w:t>61</w:t>
            </w:r>
            <w:r w:rsidR="00D96D3F">
              <w:rPr>
                <w:rFonts w:cs="Arial"/>
                <w:sz w:val="18"/>
                <w:szCs w:val="18"/>
              </w:rPr>
              <w:t>6</w:t>
            </w:r>
            <w:r w:rsidRPr="00BB4017">
              <w:rPr>
                <w:rFonts w:cs="Arial"/>
                <w:sz w:val="18"/>
                <w:szCs w:val="18"/>
              </w:rPr>
              <w:t xml:space="preserve"> </w:t>
            </w:r>
            <w:r w:rsidR="000E330F" w:rsidRPr="00BB4017">
              <w:rPr>
                <w:rFonts w:cs="Arial"/>
                <w:sz w:val="18"/>
                <w:szCs w:val="18"/>
              </w:rPr>
              <w:t>PLN</w:t>
            </w:r>
          </w:p>
        </w:tc>
      </w:tr>
      <w:bookmarkEnd w:id="0"/>
    </w:tbl>
    <w:p w14:paraId="5B120A6D" w14:textId="77777777" w:rsidR="009315BC" w:rsidRPr="00A70C6E" w:rsidRDefault="009315BC" w:rsidP="007E08CA">
      <w:pPr>
        <w:spacing w:line="276" w:lineRule="auto"/>
        <w:jc w:val="both"/>
        <w:rPr>
          <w:rFonts w:cs="Arial"/>
          <w:sz w:val="18"/>
          <w:szCs w:val="18"/>
        </w:rPr>
      </w:pPr>
    </w:p>
    <w:p w14:paraId="5E26E464" w14:textId="77777777" w:rsidR="007C4A09" w:rsidRPr="00A70C6E" w:rsidRDefault="007C4A09" w:rsidP="007E08CA">
      <w:pPr>
        <w:spacing w:line="276" w:lineRule="auto"/>
        <w:jc w:val="both"/>
        <w:rPr>
          <w:rFonts w:cs="Arial"/>
          <w:sz w:val="18"/>
          <w:szCs w:val="18"/>
        </w:rPr>
      </w:pPr>
    </w:p>
    <w:p w14:paraId="1514C6A5" w14:textId="77777777" w:rsidR="007C4A09" w:rsidRPr="00A70C6E" w:rsidRDefault="007C4A09" w:rsidP="007E08CA">
      <w:pPr>
        <w:spacing w:line="276" w:lineRule="auto"/>
        <w:jc w:val="both"/>
        <w:rPr>
          <w:rFonts w:cs="Arial"/>
          <w:sz w:val="18"/>
          <w:szCs w:val="18"/>
        </w:rPr>
      </w:pPr>
    </w:p>
    <w:p w14:paraId="59155426" w14:textId="77777777" w:rsidR="007C4A09" w:rsidRPr="00A70C6E" w:rsidRDefault="007C4A09" w:rsidP="007E08CA">
      <w:pPr>
        <w:spacing w:line="276" w:lineRule="auto"/>
        <w:jc w:val="both"/>
        <w:rPr>
          <w:rFonts w:cs="Arial"/>
          <w:szCs w:val="20"/>
        </w:rPr>
      </w:pPr>
    </w:p>
    <w:p w14:paraId="224A1617" w14:textId="77777777" w:rsidR="007C4A09" w:rsidRPr="00A70C6E" w:rsidRDefault="007C4A09" w:rsidP="007E08CA">
      <w:pPr>
        <w:spacing w:line="276" w:lineRule="auto"/>
        <w:jc w:val="both"/>
        <w:rPr>
          <w:rFonts w:cs="Arial"/>
          <w:szCs w:val="20"/>
        </w:rPr>
      </w:pPr>
    </w:p>
    <w:p w14:paraId="0F3E337F" w14:textId="77777777" w:rsidR="007C4A09" w:rsidRPr="00A70C6E" w:rsidRDefault="007C4A09" w:rsidP="007E08CA">
      <w:pPr>
        <w:spacing w:line="276" w:lineRule="auto"/>
        <w:rPr>
          <w:rFonts w:cs="Arial"/>
          <w:szCs w:val="20"/>
        </w:rPr>
      </w:pPr>
      <w:r w:rsidRPr="00A70C6E">
        <w:rPr>
          <w:rFonts w:cs="Arial"/>
          <w:szCs w:val="20"/>
        </w:rPr>
        <w:br w:type="page"/>
      </w:r>
    </w:p>
    <w:p w14:paraId="604A3905" w14:textId="77777777" w:rsidR="009315BC" w:rsidRPr="00A70C6E" w:rsidRDefault="00770A22" w:rsidP="007E08CA">
      <w:pPr>
        <w:spacing w:before="120" w:after="120" w:line="276" w:lineRule="auto"/>
        <w:jc w:val="both"/>
        <w:rPr>
          <w:rFonts w:cs="Arial"/>
          <w:b/>
          <w:smallCaps/>
          <w:szCs w:val="20"/>
        </w:rPr>
      </w:pPr>
      <w:r w:rsidRPr="00A70C6E">
        <w:rPr>
          <w:rFonts w:cs="Arial"/>
          <w:b/>
          <w:smallCaps/>
          <w:szCs w:val="20"/>
        </w:rPr>
        <w:lastRenderedPageBreak/>
        <w:t>B. Szczegółowe informacje według rodzaj operacji (nale</w:t>
      </w:r>
      <w:r w:rsidR="00E24767" w:rsidRPr="00A70C6E">
        <w:rPr>
          <w:rFonts w:cs="Arial"/>
          <w:b/>
          <w:smallCaps/>
          <w:szCs w:val="20"/>
        </w:rPr>
        <w:t xml:space="preserve">ży wypełnić dla każdego rodzaju </w:t>
      </w:r>
      <w:r w:rsidRPr="00A70C6E">
        <w:rPr>
          <w:rFonts w:cs="Arial"/>
          <w:b/>
          <w:smallCaps/>
          <w:szCs w:val="20"/>
        </w:rPr>
        <w:t>operacji)</w:t>
      </w:r>
    </w:p>
    <w:p w14:paraId="1A7A6343" w14:textId="77777777" w:rsidR="00E24767" w:rsidRPr="00A70C6E" w:rsidRDefault="00E24767" w:rsidP="007E08CA">
      <w:pPr>
        <w:spacing w:before="60" w:after="60" w:line="276" w:lineRule="auto"/>
        <w:jc w:val="both"/>
        <w:rPr>
          <w:rFonts w:cs="Arial"/>
          <w:smallCaps/>
          <w:szCs w:val="20"/>
        </w:rPr>
      </w:pPr>
      <w:r w:rsidRPr="00A70C6E">
        <w:rPr>
          <w:rFonts w:cs="Arial"/>
          <w:smallCaps/>
          <w:szCs w:val="20"/>
        </w:rPr>
        <w:t>Czy instytucja zarządzająca otrzymała wsparcie od firmy zewnętrznej w celu określenia poniższych kosztów uproszczonych?</w:t>
      </w:r>
    </w:p>
    <w:p w14:paraId="643ED123" w14:textId="77777777" w:rsidR="00DB7E5E" w:rsidRPr="00A70C6E" w:rsidRDefault="00DB7E5E" w:rsidP="007E08CA">
      <w:pPr>
        <w:spacing w:before="60" w:after="60" w:line="276" w:lineRule="auto"/>
        <w:jc w:val="both"/>
        <w:rPr>
          <w:rFonts w:cs="Arial"/>
          <w:i/>
          <w:szCs w:val="20"/>
        </w:rPr>
      </w:pPr>
      <w:r w:rsidRPr="00A70C6E">
        <w:rPr>
          <w:rFonts w:cs="Arial"/>
          <w:i/>
          <w:szCs w:val="20"/>
        </w:rPr>
        <w:t>Jeśli tak, proszę podać nazwę firmy zewnętrznej: Tak/Nie (- nazwa firmy zewnętrznej)</w:t>
      </w:r>
    </w:p>
    <w:p w14:paraId="58EA16B6" w14:textId="77777777" w:rsidR="007C2446" w:rsidRPr="00A70C6E" w:rsidRDefault="007C2446" w:rsidP="007E08CA">
      <w:pPr>
        <w:spacing w:before="60" w:after="60" w:line="276" w:lineRule="auto"/>
        <w:jc w:val="both"/>
        <w:rPr>
          <w:rFonts w:cs="Arial"/>
          <w:szCs w:val="20"/>
        </w:rPr>
      </w:pPr>
    </w:p>
    <w:p w14:paraId="27762CA5" w14:textId="77777777" w:rsidR="00DB7E5E" w:rsidRPr="00A70C6E" w:rsidRDefault="00DB7E5E" w:rsidP="007E08CA">
      <w:pPr>
        <w:spacing w:before="60" w:after="60" w:line="276" w:lineRule="auto"/>
        <w:jc w:val="both"/>
        <w:rPr>
          <w:rFonts w:cs="Arial"/>
          <w:szCs w:val="20"/>
        </w:rPr>
      </w:pPr>
      <w:r w:rsidRPr="00A70C6E">
        <w:rPr>
          <w:rFonts w:cs="Arial"/>
          <w:szCs w:val="20"/>
        </w:rPr>
        <w:t>Nie</w:t>
      </w:r>
      <w:r w:rsidR="001041BE" w:rsidRPr="00A70C6E">
        <w:rPr>
          <w:rFonts w:cs="Arial"/>
          <w:szCs w:val="20"/>
        </w:rPr>
        <w:t>.</w:t>
      </w:r>
    </w:p>
    <w:p w14:paraId="7B9B7853" w14:textId="77777777" w:rsidR="00AD3195" w:rsidRPr="00A70C6E" w:rsidRDefault="00AD3195" w:rsidP="007E08CA">
      <w:pPr>
        <w:spacing w:before="60" w:after="60" w:line="276" w:lineRule="auto"/>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4"/>
        <w:gridCol w:w="11588"/>
      </w:tblGrid>
      <w:tr w:rsidR="00A70C6E" w:rsidRPr="00A70C6E" w14:paraId="19FACE1A" w14:textId="77777777" w:rsidTr="3004B5B3">
        <w:trPr>
          <w:trHeight w:val="20"/>
        </w:trPr>
        <w:tc>
          <w:tcPr>
            <w:tcW w:w="859" w:type="pct"/>
            <w:shd w:val="clear" w:color="auto" w:fill="FFFFFF" w:themeFill="background1"/>
          </w:tcPr>
          <w:p w14:paraId="166405CF" w14:textId="77777777" w:rsidR="00BB247E" w:rsidRPr="00A70C6E" w:rsidRDefault="00BB247E" w:rsidP="008E7B53">
            <w:pPr>
              <w:pStyle w:val="Inne0"/>
              <w:spacing w:line="276" w:lineRule="auto"/>
              <w:ind w:left="129" w:right="279"/>
              <w:rPr>
                <w:rFonts w:ascii="Arial" w:hAnsi="Arial" w:cs="Arial"/>
                <w:b/>
                <w:smallCaps/>
                <w:sz w:val="20"/>
                <w:szCs w:val="20"/>
              </w:rPr>
            </w:pPr>
            <w:r w:rsidRPr="00A70C6E">
              <w:rPr>
                <w:rFonts w:ascii="Arial" w:hAnsi="Arial" w:cs="Arial"/>
                <w:b/>
                <w:smallCaps/>
                <w:sz w:val="20"/>
                <w:szCs w:val="20"/>
              </w:rPr>
              <w:t>1. Opis rodzaju operacji, w tym harmonogram wdrażania</w:t>
            </w:r>
            <w:r w:rsidRPr="00A70C6E">
              <w:rPr>
                <w:rStyle w:val="Odwoanieprzypisudolnego"/>
                <w:rFonts w:ascii="Arial" w:hAnsi="Arial" w:cs="Arial"/>
                <w:b/>
                <w:smallCaps/>
                <w:sz w:val="20"/>
                <w:szCs w:val="20"/>
              </w:rPr>
              <w:footnoteReference w:id="4"/>
            </w:r>
          </w:p>
        </w:tc>
        <w:tc>
          <w:tcPr>
            <w:tcW w:w="4141" w:type="pct"/>
            <w:shd w:val="clear" w:color="auto" w:fill="FFFFFF" w:themeFill="background1"/>
          </w:tcPr>
          <w:p w14:paraId="163FA135" w14:textId="23FED3EC" w:rsidR="001A11A3" w:rsidRPr="00A70C6E" w:rsidRDefault="006F3DDF" w:rsidP="00E7596A">
            <w:pPr>
              <w:spacing w:before="60" w:after="60" w:line="276" w:lineRule="auto"/>
              <w:ind w:right="232"/>
              <w:jc w:val="both"/>
              <w:rPr>
                <w:rFonts w:cs="Arial"/>
                <w:szCs w:val="20"/>
              </w:rPr>
            </w:pPr>
            <w:bookmarkStart w:id="1" w:name="_Hlk143166665"/>
            <w:r w:rsidRPr="00A70C6E">
              <w:rPr>
                <w:rFonts w:cs="Arial"/>
                <w:szCs w:val="20"/>
              </w:rPr>
              <w:t xml:space="preserve">Stawki jednostkowe będą </w:t>
            </w:r>
            <w:r w:rsidR="00F67734" w:rsidRPr="00A70C6E">
              <w:rPr>
                <w:rFonts w:cs="Arial"/>
                <w:szCs w:val="20"/>
              </w:rPr>
              <w:t xml:space="preserve">miały zastosowanie </w:t>
            </w:r>
            <w:r w:rsidRPr="00A70C6E">
              <w:rPr>
                <w:rFonts w:cs="Arial"/>
                <w:szCs w:val="20"/>
              </w:rPr>
              <w:t xml:space="preserve">w ramach </w:t>
            </w:r>
            <w:r w:rsidR="0057033F" w:rsidRPr="00A70C6E">
              <w:rPr>
                <w:rFonts w:cs="Arial"/>
                <w:szCs w:val="20"/>
              </w:rPr>
              <w:t>Priorytetu</w:t>
            </w:r>
            <w:r w:rsidR="00F67734" w:rsidRPr="00A70C6E">
              <w:rPr>
                <w:rFonts w:cs="Arial"/>
                <w:szCs w:val="20"/>
              </w:rPr>
              <w:t xml:space="preserve"> </w:t>
            </w:r>
            <w:r w:rsidR="008A70DA">
              <w:rPr>
                <w:rFonts w:cs="Arial"/>
                <w:szCs w:val="20"/>
              </w:rPr>
              <w:t>6</w:t>
            </w:r>
            <w:r w:rsidR="00F67734" w:rsidRPr="00A70C6E">
              <w:rPr>
                <w:rFonts w:cs="Arial"/>
                <w:szCs w:val="20"/>
              </w:rPr>
              <w:t xml:space="preserve"> programu </w:t>
            </w:r>
            <w:r w:rsidR="00B36285" w:rsidRPr="00A70C6E">
              <w:rPr>
                <w:rFonts w:cs="Arial"/>
                <w:szCs w:val="20"/>
              </w:rPr>
              <w:t>FE</w:t>
            </w:r>
            <w:r w:rsidR="008A70DA">
              <w:rPr>
                <w:rFonts w:cs="Arial"/>
                <w:szCs w:val="20"/>
              </w:rPr>
              <w:t>PW</w:t>
            </w:r>
            <w:r w:rsidR="00B36285" w:rsidRPr="00A70C6E">
              <w:rPr>
                <w:rFonts w:cs="Arial"/>
                <w:szCs w:val="20"/>
              </w:rPr>
              <w:t xml:space="preserve"> </w:t>
            </w:r>
            <w:r w:rsidR="00F67734" w:rsidRPr="00A70C6E">
              <w:rPr>
                <w:rFonts w:cs="Arial"/>
                <w:szCs w:val="20"/>
              </w:rPr>
              <w:t xml:space="preserve">- </w:t>
            </w:r>
            <w:r w:rsidR="001A11A3" w:rsidRPr="00A70C6E">
              <w:rPr>
                <w:rFonts w:cs="Arial"/>
                <w:szCs w:val="20"/>
              </w:rPr>
              <w:t>Pomocy Technicznej</w:t>
            </w:r>
            <w:r w:rsidR="005014D1" w:rsidRPr="00A70C6E">
              <w:rPr>
                <w:rFonts w:cs="Arial"/>
                <w:szCs w:val="20"/>
              </w:rPr>
              <w:t xml:space="preserve"> (PT)</w:t>
            </w:r>
            <w:r w:rsidR="00D72837">
              <w:rPr>
                <w:rFonts w:cs="Arial"/>
                <w:szCs w:val="20"/>
              </w:rPr>
              <w:t xml:space="preserve">, którego </w:t>
            </w:r>
            <w:r w:rsidRPr="00A70C6E">
              <w:rPr>
                <w:rFonts w:cs="Arial"/>
                <w:szCs w:val="20"/>
              </w:rPr>
              <w:t xml:space="preserve">działania koncentrują się </w:t>
            </w:r>
            <w:r w:rsidR="00A2568E" w:rsidRPr="00A70C6E">
              <w:rPr>
                <w:rFonts w:cs="Arial"/>
                <w:szCs w:val="20"/>
              </w:rPr>
              <w:t>n</w:t>
            </w:r>
            <w:r w:rsidR="001A11A3" w:rsidRPr="00A70C6E">
              <w:rPr>
                <w:rFonts w:cs="Arial"/>
                <w:szCs w:val="20"/>
              </w:rPr>
              <w:t xml:space="preserve">a zapewnieniu wsparcia procesów wpływających na wdrażanie </w:t>
            </w:r>
            <w:r w:rsidR="00B36285">
              <w:rPr>
                <w:rFonts w:cs="Arial"/>
                <w:szCs w:val="20"/>
              </w:rPr>
              <w:t>FE</w:t>
            </w:r>
            <w:r w:rsidR="008A70DA">
              <w:rPr>
                <w:rFonts w:cs="Arial"/>
                <w:szCs w:val="20"/>
              </w:rPr>
              <w:t>PW</w:t>
            </w:r>
            <w:bookmarkEnd w:id="1"/>
            <w:r w:rsidR="0011015C">
              <w:rPr>
                <w:rFonts w:cs="Arial"/>
                <w:szCs w:val="20"/>
              </w:rPr>
              <w:t>.</w:t>
            </w:r>
            <w:r w:rsidR="005014D1" w:rsidRPr="00A70C6E">
              <w:rPr>
                <w:rFonts w:cs="Arial"/>
                <w:szCs w:val="20"/>
              </w:rPr>
              <w:t xml:space="preserve"> </w:t>
            </w:r>
          </w:p>
          <w:p w14:paraId="0A2B73A7" w14:textId="1A9910D6" w:rsidR="006126A1" w:rsidRPr="00A70C6E" w:rsidRDefault="007A7785" w:rsidP="00E7596A">
            <w:pPr>
              <w:spacing w:before="60" w:after="60" w:line="276" w:lineRule="auto"/>
              <w:ind w:right="232"/>
              <w:jc w:val="both"/>
              <w:rPr>
                <w:rFonts w:cs="Arial"/>
                <w:szCs w:val="20"/>
              </w:rPr>
            </w:pPr>
            <w:r w:rsidRPr="00A76A24">
              <w:rPr>
                <w:rFonts w:cs="Arial"/>
                <w:szCs w:val="20"/>
              </w:rPr>
              <w:t xml:space="preserve">Stawki jednostkowe będą dotyczyć wydatków ponoszonych </w:t>
            </w:r>
            <w:r w:rsidR="006714DF" w:rsidRPr="00A76A24">
              <w:rPr>
                <w:rFonts w:cs="Arial"/>
                <w:szCs w:val="20"/>
              </w:rPr>
              <w:t>przez partnerów</w:t>
            </w:r>
            <w:r w:rsidR="006126A1" w:rsidRPr="00A76A24">
              <w:rPr>
                <w:rFonts w:cs="Arial"/>
                <w:szCs w:val="20"/>
              </w:rPr>
              <w:t>, o których mowa w</w:t>
            </w:r>
            <w:r w:rsidR="007E08CA" w:rsidRPr="00A76A24">
              <w:rPr>
                <w:rFonts w:cs="Arial"/>
                <w:szCs w:val="20"/>
              </w:rPr>
              <w:t xml:space="preserve"> rozporządzeniu ogólnym - </w:t>
            </w:r>
            <w:r w:rsidR="006126A1" w:rsidRPr="00A76A24">
              <w:rPr>
                <w:rFonts w:cs="Arial"/>
                <w:szCs w:val="20"/>
              </w:rPr>
              <w:t xml:space="preserve"> art. 8 ust. 1 lit. b)</w:t>
            </w:r>
            <w:r w:rsidR="007E08CA" w:rsidRPr="00552EEA">
              <w:rPr>
                <w:rFonts w:cs="Arial"/>
                <w:szCs w:val="20"/>
              </w:rPr>
              <w:t xml:space="preserve"> (partnerzy społeczni i gospodarczy)</w:t>
            </w:r>
            <w:r w:rsidR="006126A1" w:rsidRPr="00552EEA">
              <w:rPr>
                <w:rFonts w:cs="Arial"/>
                <w:szCs w:val="20"/>
              </w:rPr>
              <w:t xml:space="preserve"> </w:t>
            </w:r>
            <w:r w:rsidR="00F67734" w:rsidRPr="00552EEA">
              <w:rPr>
                <w:rFonts w:cs="Arial"/>
                <w:szCs w:val="20"/>
              </w:rPr>
              <w:t>i</w:t>
            </w:r>
            <w:r w:rsidR="007E08CA" w:rsidRPr="00552EEA">
              <w:rPr>
                <w:rFonts w:cs="Arial"/>
                <w:szCs w:val="20"/>
              </w:rPr>
              <w:t xml:space="preserve"> lit. </w:t>
            </w:r>
            <w:r w:rsidR="00F67734" w:rsidRPr="00F20622">
              <w:rPr>
                <w:rFonts w:cs="Arial"/>
                <w:szCs w:val="20"/>
              </w:rPr>
              <w:t xml:space="preserve"> c) </w:t>
            </w:r>
            <w:r w:rsidR="007E08CA" w:rsidRPr="00342C55">
              <w:rPr>
                <w:rFonts w:cs="Arial"/>
                <w:szCs w:val="20"/>
              </w:rPr>
              <w:t>(właściwe podmioty reprezentujące społeczeństwo obywatelskie)</w:t>
            </w:r>
            <w:r w:rsidR="00E7596A" w:rsidRPr="00342C55">
              <w:rPr>
                <w:rFonts w:cs="Arial"/>
                <w:szCs w:val="20"/>
              </w:rPr>
              <w:t xml:space="preserve"> or</w:t>
            </w:r>
            <w:r w:rsidR="00E7596A" w:rsidRPr="00730D2C">
              <w:rPr>
                <w:rFonts w:cs="Arial"/>
                <w:szCs w:val="20"/>
              </w:rPr>
              <w:t xml:space="preserve">az lit d) (organizacje badawcze i uniwersytety) </w:t>
            </w:r>
            <w:r w:rsidR="006714DF" w:rsidRPr="00877399">
              <w:rPr>
                <w:rFonts w:cs="Arial"/>
                <w:szCs w:val="20"/>
              </w:rPr>
              <w:t>w związku z ich udziałem w KM</w:t>
            </w:r>
            <w:r w:rsidR="00E7596A" w:rsidRPr="00877399">
              <w:rPr>
                <w:rFonts w:cs="Arial"/>
                <w:szCs w:val="20"/>
              </w:rPr>
              <w:t>, dalej</w:t>
            </w:r>
            <w:r w:rsidR="00E7596A" w:rsidRPr="00A70C6E">
              <w:rPr>
                <w:rFonts w:cs="Arial"/>
                <w:szCs w:val="20"/>
              </w:rPr>
              <w:t xml:space="preserve"> zwani jako „partnerzy KM”. </w:t>
            </w:r>
            <w:r w:rsidR="002F2E97" w:rsidRPr="00A70C6E">
              <w:rPr>
                <w:rFonts w:cs="Arial"/>
                <w:szCs w:val="20"/>
              </w:rPr>
              <w:t xml:space="preserve">Partnerzy KM będą realizowali swoje zadania na podstawie umowy zawieranej z </w:t>
            </w:r>
            <w:r w:rsidR="003A0CA3">
              <w:rPr>
                <w:rFonts w:cs="Arial"/>
                <w:szCs w:val="20"/>
              </w:rPr>
              <w:t xml:space="preserve">Instytucją Zarządzającą programem Fundusze Europejskie dla Polski Wschodniej (dalej jako </w:t>
            </w:r>
            <w:r w:rsidR="002F2E97" w:rsidRPr="00A70C6E">
              <w:rPr>
                <w:rFonts w:cs="Arial"/>
                <w:szCs w:val="20"/>
              </w:rPr>
              <w:t>IZ</w:t>
            </w:r>
            <w:r w:rsidR="003A0CA3">
              <w:rPr>
                <w:rFonts w:cs="Arial"/>
                <w:szCs w:val="20"/>
              </w:rPr>
              <w:t>)</w:t>
            </w:r>
            <w:r w:rsidR="002F2E97" w:rsidRPr="00A70C6E">
              <w:rPr>
                <w:rFonts w:cs="Arial"/>
                <w:szCs w:val="20"/>
              </w:rPr>
              <w:t>.</w:t>
            </w:r>
          </w:p>
          <w:p w14:paraId="400079CD" w14:textId="77777777" w:rsidR="007E08CA" w:rsidRPr="00A70C6E" w:rsidRDefault="007E08CA" w:rsidP="007E08CA">
            <w:pPr>
              <w:spacing w:before="60" w:after="60" w:line="276" w:lineRule="auto"/>
              <w:ind w:left="269" w:right="232"/>
              <w:jc w:val="both"/>
              <w:rPr>
                <w:rFonts w:cs="Arial"/>
                <w:szCs w:val="20"/>
              </w:rPr>
            </w:pPr>
          </w:p>
          <w:p w14:paraId="6D4D86C9" w14:textId="02A2E727" w:rsidR="001A11A3" w:rsidRPr="00A70C6E" w:rsidRDefault="008E0409" w:rsidP="00E7596A">
            <w:pPr>
              <w:spacing w:before="60" w:after="60" w:line="276" w:lineRule="auto"/>
              <w:ind w:right="232"/>
              <w:jc w:val="both"/>
              <w:rPr>
                <w:rFonts w:cs="Arial"/>
                <w:szCs w:val="20"/>
              </w:rPr>
            </w:pPr>
            <w:r w:rsidRPr="00A70C6E">
              <w:rPr>
                <w:rFonts w:cs="Arial"/>
                <w:szCs w:val="20"/>
              </w:rPr>
              <w:t>Zastosowane będą następujące s</w:t>
            </w:r>
            <w:r w:rsidR="009B6BE1" w:rsidRPr="00A70C6E">
              <w:rPr>
                <w:rFonts w:cs="Arial"/>
                <w:szCs w:val="20"/>
              </w:rPr>
              <w:t xml:space="preserve">tawki </w:t>
            </w:r>
            <w:r w:rsidR="009B6BE1" w:rsidRPr="00A76A24">
              <w:rPr>
                <w:rFonts w:cs="Arial"/>
                <w:szCs w:val="20"/>
              </w:rPr>
              <w:t>jednostkowe</w:t>
            </w:r>
            <w:r w:rsidR="00E7596A" w:rsidRPr="00A76A24">
              <w:rPr>
                <w:rFonts w:cs="Arial"/>
                <w:szCs w:val="20"/>
              </w:rPr>
              <w:t xml:space="preserve">, których </w:t>
            </w:r>
            <w:r w:rsidR="00123E07" w:rsidRPr="00A76A24">
              <w:rPr>
                <w:rFonts w:cs="Arial"/>
                <w:szCs w:val="20"/>
              </w:rPr>
              <w:t xml:space="preserve">liczba </w:t>
            </w:r>
            <w:r w:rsidR="00E7596A" w:rsidRPr="00A76A24">
              <w:rPr>
                <w:rFonts w:cs="Arial"/>
                <w:szCs w:val="20"/>
              </w:rPr>
              <w:t>będzie wynikać</w:t>
            </w:r>
            <w:r w:rsidR="007E08CA" w:rsidRPr="00A76A24">
              <w:rPr>
                <w:rFonts w:cs="Arial"/>
                <w:szCs w:val="20"/>
              </w:rPr>
              <w:t xml:space="preserve"> </w:t>
            </w:r>
            <w:r w:rsidR="00E7596A" w:rsidRPr="00A76A24">
              <w:rPr>
                <w:rFonts w:cs="Arial"/>
                <w:szCs w:val="20"/>
              </w:rPr>
              <w:t xml:space="preserve">z </w:t>
            </w:r>
            <w:r w:rsidR="007E08CA" w:rsidRPr="00A76A24">
              <w:rPr>
                <w:rFonts w:cs="Arial"/>
                <w:szCs w:val="20"/>
              </w:rPr>
              <w:t>potrzeb danego partnera KM</w:t>
            </w:r>
            <w:r w:rsidRPr="00A76A24">
              <w:rPr>
                <w:rFonts w:cs="Arial"/>
                <w:szCs w:val="20"/>
              </w:rPr>
              <w:t>:</w:t>
            </w:r>
            <w:r w:rsidR="006B66DE" w:rsidRPr="00A70C6E">
              <w:rPr>
                <w:rFonts w:cs="Arial"/>
                <w:szCs w:val="20"/>
              </w:rPr>
              <w:t xml:space="preserve"> </w:t>
            </w:r>
          </w:p>
          <w:p w14:paraId="4A96FD89" w14:textId="43539DBF" w:rsidR="000E330F" w:rsidRDefault="002F2334" w:rsidP="00E7596A">
            <w:pPr>
              <w:spacing w:before="60" w:after="60" w:line="276" w:lineRule="auto"/>
              <w:ind w:right="232"/>
              <w:jc w:val="both"/>
              <w:rPr>
                <w:rFonts w:cs="Arial"/>
                <w:b/>
                <w:bCs/>
                <w:szCs w:val="20"/>
              </w:rPr>
            </w:pPr>
            <w:r w:rsidRPr="00A70C6E">
              <w:rPr>
                <w:rFonts w:cs="Arial"/>
                <w:b/>
                <w:bCs/>
                <w:szCs w:val="20"/>
              </w:rPr>
              <w:t xml:space="preserve">I. </w:t>
            </w:r>
            <w:r w:rsidR="000E330F" w:rsidRPr="00A70C6E">
              <w:rPr>
                <w:rFonts w:cs="Arial"/>
                <w:b/>
                <w:bCs/>
                <w:szCs w:val="20"/>
              </w:rPr>
              <w:t>Stawka jednostkowa na podnoszenie przez partnerów KM kompetencji związanych z ich uczestnictwem w KM</w:t>
            </w:r>
            <w:r w:rsidR="0064081E">
              <w:rPr>
                <w:rFonts w:cs="Arial"/>
                <w:b/>
                <w:bCs/>
                <w:szCs w:val="20"/>
              </w:rPr>
              <w:t xml:space="preserve"> FEPW</w:t>
            </w:r>
          </w:p>
          <w:p w14:paraId="0BF5D559" w14:textId="28F21F18" w:rsidR="001441C5" w:rsidRPr="00A70C6E" w:rsidRDefault="000E330F" w:rsidP="00E7596A">
            <w:pPr>
              <w:spacing w:before="60" w:after="60" w:line="276" w:lineRule="auto"/>
              <w:ind w:right="232"/>
              <w:jc w:val="both"/>
              <w:rPr>
                <w:rFonts w:cs="Arial"/>
                <w:b/>
                <w:bCs/>
                <w:szCs w:val="20"/>
              </w:rPr>
            </w:pPr>
            <w:r>
              <w:rPr>
                <w:rFonts w:cs="Arial"/>
                <w:b/>
                <w:bCs/>
                <w:szCs w:val="20"/>
              </w:rPr>
              <w:t xml:space="preserve">II. </w:t>
            </w:r>
            <w:r w:rsidR="002F2334" w:rsidRPr="00A70C6E">
              <w:rPr>
                <w:rFonts w:cs="Arial"/>
                <w:b/>
                <w:bCs/>
                <w:szCs w:val="20"/>
              </w:rPr>
              <w:t xml:space="preserve">Stawka jednostkowa na przygotowanie do posiedzeń KM </w:t>
            </w:r>
            <w:r w:rsidR="00E86E6B" w:rsidRPr="00FC171F">
              <w:rPr>
                <w:rFonts w:cs="Arial"/>
                <w:b/>
                <w:bCs/>
                <w:szCs w:val="20"/>
              </w:rPr>
              <w:t xml:space="preserve">dla partnera KM </w:t>
            </w:r>
            <w:r w:rsidR="008A70DA">
              <w:rPr>
                <w:rFonts w:cs="Arial"/>
                <w:b/>
                <w:bCs/>
                <w:szCs w:val="20"/>
              </w:rPr>
              <w:t>FEPW</w:t>
            </w:r>
          </w:p>
          <w:p w14:paraId="1F24609B" w14:textId="68CE6313" w:rsidR="008F7763" w:rsidRPr="008E01F2" w:rsidRDefault="00805B5D" w:rsidP="00A008C6">
            <w:pPr>
              <w:spacing w:before="60" w:after="60" w:line="276" w:lineRule="auto"/>
              <w:ind w:right="232"/>
              <w:jc w:val="both"/>
              <w:rPr>
                <w:rFonts w:cs="Arial"/>
                <w:b/>
                <w:bCs/>
                <w:szCs w:val="20"/>
              </w:rPr>
            </w:pPr>
            <w:r w:rsidRPr="00F446FF">
              <w:rPr>
                <w:rFonts w:cs="Arial"/>
                <w:b/>
                <w:bCs/>
                <w:szCs w:val="20"/>
              </w:rPr>
              <w:t>I</w:t>
            </w:r>
            <w:r w:rsidR="00445CC3">
              <w:rPr>
                <w:rFonts w:cs="Arial"/>
                <w:b/>
                <w:bCs/>
                <w:szCs w:val="20"/>
              </w:rPr>
              <w:t>I</w:t>
            </w:r>
            <w:r w:rsidR="000E330F">
              <w:rPr>
                <w:rFonts w:cs="Arial"/>
                <w:b/>
                <w:bCs/>
                <w:szCs w:val="20"/>
              </w:rPr>
              <w:t>I</w:t>
            </w:r>
            <w:r w:rsidR="00CC2408">
              <w:rPr>
                <w:rFonts w:cs="Arial"/>
                <w:b/>
                <w:bCs/>
                <w:szCs w:val="20"/>
              </w:rPr>
              <w:t>.</w:t>
            </w:r>
            <w:r w:rsidR="000E330F">
              <w:rPr>
                <w:rFonts w:cs="Arial"/>
                <w:b/>
                <w:bCs/>
                <w:szCs w:val="20"/>
              </w:rPr>
              <w:t xml:space="preserve"> </w:t>
            </w:r>
            <w:r w:rsidRPr="00F446FF">
              <w:rPr>
                <w:rFonts w:cs="Arial"/>
                <w:b/>
                <w:bCs/>
                <w:szCs w:val="20"/>
              </w:rPr>
              <w:t xml:space="preserve">Stawka jednostkowa na </w:t>
            </w:r>
            <w:r w:rsidR="009C60DC" w:rsidRPr="00F446FF">
              <w:rPr>
                <w:rFonts w:cs="Arial"/>
                <w:b/>
                <w:bCs/>
                <w:szCs w:val="20"/>
              </w:rPr>
              <w:t xml:space="preserve">zewnętrzne </w:t>
            </w:r>
            <w:r w:rsidRPr="00FC171F">
              <w:rPr>
                <w:rFonts w:cs="Arial"/>
                <w:b/>
                <w:bCs/>
                <w:szCs w:val="20"/>
              </w:rPr>
              <w:t>wsparcie doradcze</w:t>
            </w:r>
            <w:r w:rsidR="008F7763" w:rsidRPr="00FC171F">
              <w:rPr>
                <w:rFonts w:cs="Arial"/>
                <w:b/>
                <w:bCs/>
                <w:szCs w:val="20"/>
              </w:rPr>
              <w:t xml:space="preserve"> </w:t>
            </w:r>
            <w:r w:rsidR="009C60DC" w:rsidRPr="00FC171F">
              <w:rPr>
                <w:rFonts w:cs="Arial"/>
                <w:b/>
                <w:bCs/>
                <w:szCs w:val="20"/>
              </w:rPr>
              <w:t>dla partnera KM</w:t>
            </w:r>
            <w:r w:rsidR="009A7FCA" w:rsidRPr="00FC171F">
              <w:rPr>
                <w:rFonts w:cs="Arial"/>
                <w:b/>
                <w:bCs/>
                <w:szCs w:val="20"/>
              </w:rPr>
              <w:t xml:space="preserve"> </w:t>
            </w:r>
            <w:r w:rsidR="00CC2408" w:rsidRPr="00FC171F">
              <w:rPr>
                <w:rFonts w:cs="Arial"/>
                <w:b/>
                <w:bCs/>
                <w:szCs w:val="20"/>
              </w:rPr>
              <w:t>F</w:t>
            </w:r>
            <w:r w:rsidR="008A70DA">
              <w:rPr>
                <w:rFonts w:cs="Arial"/>
                <w:b/>
                <w:bCs/>
                <w:szCs w:val="20"/>
              </w:rPr>
              <w:t>EPW</w:t>
            </w:r>
          </w:p>
          <w:p w14:paraId="3AB75581" w14:textId="77777777" w:rsidR="00412AA1" w:rsidRPr="00A70C6E" w:rsidRDefault="00412AA1" w:rsidP="00A008C6">
            <w:pPr>
              <w:spacing w:before="60" w:after="60" w:line="276" w:lineRule="auto"/>
              <w:ind w:right="232"/>
              <w:jc w:val="both"/>
              <w:rPr>
                <w:rFonts w:cs="Arial"/>
                <w:szCs w:val="20"/>
              </w:rPr>
            </w:pPr>
            <w:r w:rsidRPr="00FE4C04">
              <w:rPr>
                <w:rFonts w:cs="Arial"/>
                <w:szCs w:val="20"/>
              </w:rPr>
              <w:t xml:space="preserve">Zastosowany mechanizm </w:t>
            </w:r>
            <w:r w:rsidR="00160EBE" w:rsidRPr="00FE4C04">
              <w:rPr>
                <w:rFonts w:cs="Arial"/>
                <w:szCs w:val="20"/>
              </w:rPr>
              <w:t xml:space="preserve">uproszczonego rozliczania wydatków związanych z udziałem partnerów w pracach KM </w:t>
            </w:r>
            <w:r w:rsidRPr="00FE4C04">
              <w:rPr>
                <w:rFonts w:cs="Arial"/>
                <w:szCs w:val="20"/>
              </w:rPr>
              <w:t xml:space="preserve">jest zgodny z zasadami określonymi w art. 53 ust. 1 lit. b) rozporządzenia ogólnego. Podstawę dla ustalenia wysokości stawek </w:t>
            </w:r>
            <w:r w:rsidR="00257688" w:rsidRPr="00FE4C04">
              <w:rPr>
                <w:rFonts w:cs="Arial"/>
                <w:szCs w:val="20"/>
              </w:rPr>
              <w:t xml:space="preserve">jednostkowych </w:t>
            </w:r>
            <w:r w:rsidRPr="00FE4C04">
              <w:rPr>
                <w:rFonts w:cs="Arial"/>
                <w:szCs w:val="20"/>
              </w:rPr>
              <w:t>stanowi art. 53 ust. 3 lit. a</w:t>
            </w:r>
            <w:r w:rsidR="00886DA0" w:rsidRPr="00FE4C04">
              <w:rPr>
                <w:rFonts w:cs="Arial"/>
                <w:szCs w:val="20"/>
              </w:rPr>
              <w:t xml:space="preserve"> </w:t>
            </w:r>
            <w:proofErr w:type="spellStart"/>
            <w:r w:rsidR="00886DA0" w:rsidRPr="00FE4C04">
              <w:rPr>
                <w:rFonts w:cs="Arial"/>
                <w:szCs w:val="20"/>
              </w:rPr>
              <w:t>tiret</w:t>
            </w:r>
            <w:proofErr w:type="spellEnd"/>
            <w:r w:rsidR="00886DA0" w:rsidRPr="00FE4C04">
              <w:rPr>
                <w:rFonts w:cs="Arial"/>
                <w:szCs w:val="20"/>
              </w:rPr>
              <w:t xml:space="preserve"> i) i ii).</w:t>
            </w:r>
          </w:p>
          <w:p w14:paraId="15288E67" w14:textId="77777777" w:rsidR="006222D0" w:rsidRDefault="00515C0B" w:rsidP="00A008C6">
            <w:pPr>
              <w:spacing w:before="60" w:after="60" w:line="276" w:lineRule="auto"/>
              <w:ind w:right="232"/>
              <w:jc w:val="both"/>
              <w:rPr>
                <w:rFonts w:cs="Arial"/>
                <w:szCs w:val="20"/>
              </w:rPr>
            </w:pPr>
            <w:r w:rsidRPr="00A70C6E">
              <w:rPr>
                <w:rFonts w:cs="Arial"/>
                <w:szCs w:val="20"/>
              </w:rPr>
              <w:t>Z uwagi na charakter wsparcia w ramach stawek jednostkowych nie występują wydatki objęte cross-</w:t>
            </w:r>
            <w:proofErr w:type="spellStart"/>
            <w:r w:rsidRPr="00A70C6E">
              <w:rPr>
                <w:rFonts w:cs="Arial"/>
                <w:szCs w:val="20"/>
              </w:rPr>
              <w:t>financingiem</w:t>
            </w:r>
            <w:proofErr w:type="spellEnd"/>
            <w:r w:rsidR="00033CE0">
              <w:rPr>
                <w:rFonts w:cs="Arial"/>
                <w:szCs w:val="20"/>
              </w:rPr>
              <w:t>,</w:t>
            </w:r>
            <w:r w:rsidR="007E6E3A" w:rsidRPr="00A70C6E">
              <w:rPr>
                <w:rFonts w:cs="Arial"/>
                <w:szCs w:val="20"/>
              </w:rPr>
              <w:t xml:space="preserve"> ani </w:t>
            </w:r>
            <w:r w:rsidR="00A23153" w:rsidRPr="00A70C6E">
              <w:rPr>
                <w:rFonts w:cs="Arial"/>
                <w:szCs w:val="20"/>
              </w:rPr>
              <w:t xml:space="preserve">stanowiące pomoc publiczną. </w:t>
            </w:r>
          </w:p>
          <w:p w14:paraId="2658066A" w14:textId="53D9FC2A" w:rsidR="003A0CA3" w:rsidRPr="00A70C6E" w:rsidRDefault="003A0CA3" w:rsidP="00A008C6">
            <w:pPr>
              <w:spacing w:before="60" w:after="60" w:line="276" w:lineRule="auto"/>
              <w:ind w:right="232"/>
              <w:jc w:val="both"/>
              <w:rPr>
                <w:rFonts w:cs="Arial"/>
                <w:szCs w:val="20"/>
              </w:rPr>
            </w:pPr>
            <w:r>
              <w:rPr>
                <w:rFonts w:cs="Arial"/>
                <w:szCs w:val="20"/>
              </w:rPr>
              <w:t>IZ</w:t>
            </w:r>
            <w:r w:rsidRPr="003A0CA3">
              <w:rPr>
                <w:rFonts w:cs="Arial"/>
                <w:szCs w:val="20"/>
              </w:rPr>
              <w:t xml:space="preserve"> może wprowadzić dodatkowe zasady dotyczące realizacji i rozliczania </w:t>
            </w:r>
            <w:r>
              <w:rPr>
                <w:rFonts w:cs="Arial"/>
                <w:szCs w:val="20"/>
              </w:rPr>
              <w:t>ww. stawek jednostkowych</w:t>
            </w:r>
            <w:r w:rsidRPr="003A0CA3">
              <w:rPr>
                <w:rFonts w:cs="Arial"/>
                <w:szCs w:val="20"/>
              </w:rPr>
              <w:t xml:space="preserve"> ex post, w szczególności w dokumentach programowych lub w dokumentach </w:t>
            </w:r>
            <w:r>
              <w:rPr>
                <w:rFonts w:cs="Arial"/>
                <w:szCs w:val="20"/>
              </w:rPr>
              <w:t>powstałych na skutek wdrażania niniejszej metodyki</w:t>
            </w:r>
            <w:r w:rsidRPr="003A0CA3">
              <w:rPr>
                <w:rFonts w:cs="Arial"/>
                <w:szCs w:val="20"/>
              </w:rPr>
              <w:t xml:space="preserve">. Kształtując politykę udzielania wsparcia, IZ może </w:t>
            </w:r>
            <w:r w:rsidR="0061361E">
              <w:rPr>
                <w:rFonts w:cs="Arial"/>
                <w:szCs w:val="20"/>
              </w:rPr>
              <w:t>m.in</w:t>
            </w:r>
            <w:r w:rsidRPr="003A0CA3">
              <w:rPr>
                <w:rFonts w:cs="Arial"/>
                <w:szCs w:val="20"/>
              </w:rPr>
              <w:t xml:space="preserve">. ograniczyć finansowanie pewnych usług </w:t>
            </w:r>
            <w:r w:rsidR="004A3823">
              <w:rPr>
                <w:rFonts w:cs="Arial"/>
                <w:szCs w:val="20"/>
              </w:rPr>
              <w:t xml:space="preserve">szkoleniowych lub </w:t>
            </w:r>
            <w:r w:rsidRPr="003A0CA3">
              <w:rPr>
                <w:rFonts w:cs="Arial"/>
                <w:szCs w:val="20"/>
              </w:rPr>
              <w:t>doradczych</w:t>
            </w:r>
            <w:r w:rsidR="004A3823">
              <w:rPr>
                <w:rFonts w:cs="Arial"/>
                <w:szCs w:val="20"/>
              </w:rPr>
              <w:t xml:space="preserve"> </w:t>
            </w:r>
            <w:r w:rsidR="0061361E">
              <w:rPr>
                <w:rFonts w:cs="Arial"/>
                <w:szCs w:val="20"/>
              </w:rPr>
              <w:t>np</w:t>
            </w:r>
            <w:r w:rsidRPr="003A0CA3">
              <w:rPr>
                <w:rFonts w:cs="Arial"/>
                <w:szCs w:val="20"/>
              </w:rPr>
              <w:t xml:space="preserve">. </w:t>
            </w:r>
            <w:r w:rsidR="004A3823">
              <w:rPr>
                <w:rFonts w:cs="Arial"/>
                <w:szCs w:val="20"/>
              </w:rPr>
              <w:t xml:space="preserve">ze względu na </w:t>
            </w:r>
            <w:r w:rsidRPr="003A0CA3">
              <w:rPr>
                <w:rFonts w:cs="Arial"/>
                <w:szCs w:val="20"/>
              </w:rPr>
              <w:t>określon</w:t>
            </w:r>
            <w:r w:rsidR="004A3823">
              <w:rPr>
                <w:rFonts w:cs="Arial"/>
                <w:szCs w:val="20"/>
              </w:rPr>
              <w:t>ą</w:t>
            </w:r>
            <w:r w:rsidRPr="003A0CA3">
              <w:rPr>
                <w:rFonts w:cs="Arial"/>
                <w:szCs w:val="20"/>
              </w:rPr>
              <w:t xml:space="preserve"> </w:t>
            </w:r>
            <w:r w:rsidR="004A3823" w:rsidRPr="003A0CA3">
              <w:rPr>
                <w:rFonts w:cs="Arial"/>
                <w:szCs w:val="20"/>
              </w:rPr>
              <w:t>form</w:t>
            </w:r>
            <w:r w:rsidR="004A3823">
              <w:rPr>
                <w:rFonts w:cs="Arial"/>
                <w:szCs w:val="20"/>
              </w:rPr>
              <w:t>ę, bądź</w:t>
            </w:r>
            <w:r w:rsidR="004A3823" w:rsidRPr="003A0CA3">
              <w:rPr>
                <w:rFonts w:cs="Arial"/>
                <w:szCs w:val="20"/>
              </w:rPr>
              <w:t xml:space="preserve"> </w:t>
            </w:r>
            <w:r w:rsidR="004A3823">
              <w:rPr>
                <w:rFonts w:cs="Arial"/>
                <w:szCs w:val="20"/>
              </w:rPr>
              <w:t xml:space="preserve">obszar </w:t>
            </w:r>
            <w:r w:rsidRPr="003A0CA3">
              <w:rPr>
                <w:rFonts w:cs="Arial"/>
                <w:szCs w:val="20"/>
              </w:rPr>
              <w:t>tematy</w:t>
            </w:r>
            <w:r w:rsidR="004A3823">
              <w:rPr>
                <w:rFonts w:cs="Arial"/>
                <w:szCs w:val="20"/>
              </w:rPr>
              <w:t>czny</w:t>
            </w:r>
            <w:r w:rsidRPr="003A0CA3">
              <w:rPr>
                <w:rFonts w:cs="Arial"/>
                <w:szCs w:val="20"/>
              </w:rPr>
              <w:t>.</w:t>
            </w:r>
          </w:p>
        </w:tc>
      </w:tr>
      <w:tr w:rsidR="00A70C6E" w:rsidRPr="00A70C6E" w14:paraId="23FDD401" w14:textId="77777777" w:rsidTr="3004B5B3">
        <w:trPr>
          <w:trHeight w:val="20"/>
        </w:trPr>
        <w:tc>
          <w:tcPr>
            <w:tcW w:w="859" w:type="pct"/>
            <w:shd w:val="clear" w:color="auto" w:fill="FFFFFF" w:themeFill="background1"/>
          </w:tcPr>
          <w:p w14:paraId="71A5BDAB" w14:textId="621DF185" w:rsidR="00BB247E" w:rsidRPr="00A70C6E" w:rsidRDefault="0011015C" w:rsidP="008E7B53">
            <w:pPr>
              <w:pStyle w:val="Inne0"/>
              <w:spacing w:line="276" w:lineRule="auto"/>
              <w:ind w:left="129" w:right="279"/>
              <w:rPr>
                <w:rFonts w:ascii="Arial" w:hAnsi="Arial" w:cs="Arial"/>
                <w:b/>
                <w:smallCaps/>
                <w:sz w:val="20"/>
                <w:szCs w:val="20"/>
              </w:rPr>
            </w:pPr>
            <w:r>
              <w:rPr>
                <w:rFonts w:ascii="Arial" w:hAnsi="Arial" w:cs="Arial"/>
                <w:b/>
                <w:smallCaps/>
                <w:sz w:val="20"/>
                <w:szCs w:val="20"/>
              </w:rPr>
              <w:t>2</w:t>
            </w:r>
            <w:r w:rsidR="00BB247E" w:rsidRPr="00A70C6E">
              <w:rPr>
                <w:rFonts w:ascii="Arial" w:hAnsi="Arial" w:cs="Arial"/>
                <w:b/>
                <w:smallCaps/>
                <w:sz w:val="20"/>
                <w:szCs w:val="20"/>
              </w:rPr>
              <w:t xml:space="preserve">. Wskaźnik uruchamiający </w:t>
            </w:r>
            <w:r w:rsidR="00BB247E" w:rsidRPr="00A70C6E">
              <w:rPr>
                <w:rFonts w:ascii="Arial" w:hAnsi="Arial" w:cs="Arial"/>
                <w:b/>
                <w:smallCaps/>
                <w:sz w:val="20"/>
                <w:szCs w:val="20"/>
              </w:rPr>
              <w:lastRenderedPageBreak/>
              <w:t>refundację kosztów</w:t>
            </w:r>
            <w:r w:rsidR="00BB247E" w:rsidRPr="00A70C6E">
              <w:rPr>
                <w:rStyle w:val="Odwoanieprzypisudolnego"/>
                <w:rFonts w:ascii="Arial" w:hAnsi="Arial" w:cs="Arial"/>
                <w:b/>
                <w:smallCaps/>
                <w:sz w:val="20"/>
                <w:szCs w:val="20"/>
              </w:rPr>
              <w:footnoteReference w:id="5"/>
            </w:r>
            <w:r w:rsidR="00D007E0">
              <w:rPr>
                <w:rFonts w:ascii="Arial" w:hAnsi="Arial" w:cs="Arial"/>
                <w:b/>
                <w:smallCaps/>
                <w:sz w:val="20"/>
                <w:szCs w:val="20"/>
              </w:rPr>
              <w:t xml:space="preserve"> oraz</w:t>
            </w:r>
            <w:r w:rsidR="00D007E0">
              <w:t xml:space="preserve"> </w:t>
            </w:r>
            <w:r w:rsidR="005C22B1" w:rsidRPr="00D007E0">
              <w:rPr>
                <w:rFonts w:ascii="Arial" w:hAnsi="Arial" w:cs="Arial"/>
                <w:b/>
                <w:smallCaps/>
                <w:sz w:val="20"/>
                <w:szCs w:val="20"/>
              </w:rPr>
              <w:t>kategorie kosztów objęte stawkami jednostkowymi</w:t>
            </w:r>
          </w:p>
        </w:tc>
        <w:tc>
          <w:tcPr>
            <w:tcW w:w="4141" w:type="pct"/>
            <w:shd w:val="clear" w:color="auto" w:fill="FFFFFF" w:themeFill="background1"/>
          </w:tcPr>
          <w:p w14:paraId="553B71E6" w14:textId="31C755D5" w:rsidR="003329B9" w:rsidRDefault="000E330F" w:rsidP="00B31260">
            <w:pPr>
              <w:spacing w:before="60" w:afterLines="60" w:after="144" w:line="276" w:lineRule="auto"/>
              <w:ind w:right="232"/>
              <w:jc w:val="both"/>
              <w:rPr>
                <w:rFonts w:cs="Arial"/>
                <w:bCs/>
                <w:szCs w:val="20"/>
                <w:u w:val="single"/>
              </w:rPr>
            </w:pPr>
            <w:r w:rsidRPr="00A70C6E">
              <w:rPr>
                <w:rFonts w:cs="Arial"/>
                <w:b/>
                <w:bCs/>
                <w:szCs w:val="20"/>
              </w:rPr>
              <w:lastRenderedPageBreak/>
              <w:t xml:space="preserve">I. Stawka jednostkowa na podnoszenie przez partnerów KM kompetencji związanych z ich uczestnictwem w KM </w:t>
            </w:r>
            <w:r w:rsidR="0064081E">
              <w:rPr>
                <w:rFonts w:cs="Arial"/>
                <w:b/>
                <w:bCs/>
                <w:szCs w:val="20"/>
              </w:rPr>
              <w:t>FEPW</w:t>
            </w:r>
            <w:r w:rsidR="003329B9" w:rsidRPr="003329B9">
              <w:rPr>
                <w:rFonts w:cs="Arial"/>
                <w:bCs/>
                <w:szCs w:val="20"/>
                <w:u w:val="single"/>
              </w:rPr>
              <w:t xml:space="preserve"> </w:t>
            </w:r>
          </w:p>
          <w:p w14:paraId="020BD80E" w14:textId="2BAADF0B" w:rsidR="000E330F" w:rsidRPr="00A70C6E" w:rsidRDefault="000E330F" w:rsidP="0064081E">
            <w:pPr>
              <w:spacing w:before="60" w:afterLines="60" w:after="144" w:line="276" w:lineRule="auto"/>
              <w:ind w:left="227" w:right="232"/>
              <w:jc w:val="both"/>
              <w:rPr>
                <w:rFonts w:cs="Arial"/>
                <w:bCs/>
                <w:szCs w:val="20"/>
              </w:rPr>
            </w:pPr>
            <w:r w:rsidRPr="00A70C6E">
              <w:rPr>
                <w:rFonts w:cs="Arial"/>
                <w:bCs/>
                <w:szCs w:val="20"/>
                <w:u w:val="single"/>
              </w:rPr>
              <w:lastRenderedPageBreak/>
              <w:t>Nazwa wskaźnika</w:t>
            </w:r>
            <w:r w:rsidRPr="00A70C6E">
              <w:rPr>
                <w:rFonts w:cs="Arial"/>
                <w:bCs/>
                <w:szCs w:val="20"/>
              </w:rPr>
              <w:t>: Liczba partnerów KM, którzy podnieśli kompetencje związane z uczestnictwem w KM</w:t>
            </w:r>
            <w:r>
              <w:rPr>
                <w:rFonts w:cs="Arial"/>
                <w:bCs/>
                <w:szCs w:val="20"/>
              </w:rPr>
              <w:t xml:space="preserve"> w roku kalendarzowym</w:t>
            </w:r>
            <w:r w:rsidRPr="00A70C6E">
              <w:rPr>
                <w:rFonts w:cs="Arial"/>
                <w:bCs/>
                <w:szCs w:val="20"/>
              </w:rPr>
              <w:t>.</w:t>
            </w:r>
          </w:p>
          <w:p w14:paraId="1B6C435E" w14:textId="32E42B35" w:rsidR="000E330F" w:rsidRDefault="000E330F" w:rsidP="0064081E">
            <w:pPr>
              <w:spacing w:before="60" w:afterLines="60" w:after="144" w:line="276" w:lineRule="auto"/>
              <w:ind w:left="227" w:right="232"/>
              <w:jc w:val="both"/>
              <w:rPr>
                <w:rFonts w:cs="Arial"/>
                <w:bCs/>
                <w:szCs w:val="20"/>
              </w:rPr>
            </w:pPr>
            <w:r w:rsidRPr="00A70C6E">
              <w:rPr>
                <w:rFonts w:cs="Arial"/>
                <w:bCs/>
                <w:szCs w:val="20"/>
                <w:u w:val="single"/>
              </w:rPr>
              <w:t>Sposób pomiaru wskaźnika</w:t>
            </w:r>
            <w:r w:rsidRPr="00A70C6E">
              <w:rPr>
                <w:rFonts w:cs="Arial"/>
                <w:bCs/>
                <w:szCs w:val="20"/>
              </w:rPr>
              <w:t xml:space="preserve">: </w:t>
            </w:r>
            <w:r w:rsidRPr="00A70C6E">
              <w:rPr>
                <w:rFonts w:eastAsia="Calibri" w:cs="Arial"/>
                <w:bCs/>
                <w:szCs w:val="20"/>
              </w:rPr>
              <w:t xml:space="preserve">Stawka jednostkowa jest kwalifikowalna, </w:t>
            </w:r>
            <w:r w:rsidRPr="00A70C6E">
              <w:rPr>
                <w:rFonts w:cs="Arial"/>
                <w:bCs/>
                <w:szCs w:val="20"/>
              </w:rPr>
              <w:t xml:space="preserve">gdy partner wykaże w danym roku kalendarzowym udział członka KM </w:t>
            </w:r>
            <w:r w:rsidR="00B97CDF">
              <w:rPr>
                <w:rFonts w:cs="Arial"/>
                <w:bCs/>
                <w:szCs w:val="20"/>
              </w:rPr>
              <w:t>i/</w:t>
            </w:r>
            <w:r w:rsidRPr="00A70C6E">
              <w:rPr>
                <w:rFonts w:cs="Arial"/>
                <w:bCs/>
                <w:szCs w:val="20"/>
              </w:rPr>
              <w:t xml:space="preserve">lub jego zastępcy w dwóch formach edukacyjnych podnoszących kompetencje członka KM </w:t>
            </w:r>
            <w:r w:rsidR="00B97CDF">
              <w:rPr>
                <w:rFonts w:cs="Arial"/>
                <w:bCs/>
                <w:szCs w:val="20"/>
              </w:rPr>
              <w:t>i/</w:t>
            </w:r>
            <w:r w:rsidRPr="00A70C6E">
              <w:rPr>
                <w:rFonts w:cs="Arial"/>
                <w:bCs/>
                <w:szCs w:val="20"/>
              </w:rPr>
              <w:t xml:space="preserve">lub </w:t>
            </w:r>
            <w:r w:rsidR="00B97CDF">
              <w:rPr>
                <w:rFonts w:cs="Arial"/>
                <w:bCs/>
                <w:szCs w:val="20"/>
              </w:rPr>
              <w:t xml:space="preserve">jego </w:t>
            </w:r>
            <w:r w:rsidRPr="00A70C6E">
              <w:rPr>
                <w:rFonts w:cs="Arial"/>
                <w:bCs/>
                <w:szCs w:val="20"/>
              </w:rPr>
              <w:t xml:space="preserve">zastępcy. </w:t>
            </w:r>
            <w:r w:rsidR="00B31260" w:rsidRPr="00754142">
              <w:rPr>
                <w:rFonts w:cs="Arial"/>
                <w:bCs/>
                <w:szCs w:val="20"/>
              </w:rPr>
              <w:t>Stawka jednostkowa obejmuje wszystkie koszty uczestnictwa.</w:t>
            </w:r>
            <w:r w:rsidR="00F02500" w:rsidRPr="00754142">
              <w:rPr>
                <w:rFonts w:cs="Arial"/>
                <w:bCs/>
                <w:szCs w:val="20"/>
              </w:rPr>
              <w:t xml:space="preserve"> </w:t>
            </w:r>
            <w:r w:rsidR="00F01847">
              <w:rPr>
                <w:rFonts w:cs="Arial"/>
                <w:bCs/>
                <w:szCs w:val="20"/>
              </w:rPr>
              <w:t>Zadeklarowany we wniosku o udzielenie dotacji celowej na dany rok</w:t>
            </w:r>
            <w:r w:rsidR="00424376">
              <w:rPr>
                <w:rFonts w:cs="Arial"/>
                <w:bCs/>
                <w:szCs w:val="20"/>
              </w:rPr>
              <w:t xml:space="preserve"> </w:t>
            </w:r>
            <w:r w:rsidR="00F01847">
              <w:rPr>
                <w:rFonts w:cs="Arial"/>
                <w:bCs/>
                <w:szCs w:val="20"/>
              </w:rPr>
              <w:t>u</w:t>
            </w:r>
            <w:r w:rsidR="00AC29B5">
              <w:rPr>
                <w:rFonts w:cs="Arial"/>
                <w:bCs/>
                <w:szCs w:val="20"/>
              </w:rPr>
              <w:t>dział</w:t>
            </w:r>
            <w:r w:rsidR="00F02500" w:rsidRPr="00754142">
              <w:rPr>
                <w:rFonts w:cs="Arial"/>
                <w:bCs/>
                <w:szCs w:val="20"/>
              </w:rPr>
              <w:t xml:space="preserve"> tylko</w:t>
            </w:r>
            <w:r w:rsidR="00AC29B5">
              <w:rPr>
                <w:rFonts w:cs="Arial"/>
                <w:bCs/>
                <w:szCs w:val="20"/>
              </w:rPr>
              <w:t xml:space="preserve"> w</w:t>
            </w:r>
            <w:r w:rsidR="00F02500" w:rsidRPr="00754142">
              <w:rPr>
                <w:rFonts w:cs="Arial"/>
                <w:bCs/>
                <w:szCs w:val="20"/>
              </w:rPr>
              <w:t xml:space="preserve"> jednej z form edukacyjnych spowoduje brak możliwości kwalifikowania i rozliczenia wydatku</w:t>
            </w:r>
            <w:r w:rsidR="00AC29B5">
              <w:rPr>
                <w:rFonts w:cs="Arial"/>
                <w:bCs/>
                <w:szCs w:val="20"/>
              </w:rPr>
              <w:t xml:space="preserve"> (stawka nie zostanie wypłacona)</w:t>
            </w:r>
            <w:r w:rsidR="00F02500" w:rsidRPr="00754142">
              <w:rPr>
                <w:rFonts w:cs="Arial"/>
                <w:bCs/>
                <w:szCs w:val="20"/>
              </w:rPr>
              <w:t>.</w:t>
            </w:r>
            <w:r w:rsidR="00F02500">
              <w:rPr>
                <w:rFonts w:cs="Arial"/>
                <w:bCs/>
                <w:szCs w:val="20"/>
                <w:u w:val="single"/>
              </w:rPr>
              <w:t xml:space="preserve"> </w:t>
            </w:r>
          </w:p>
          <w:p w14:paraId="23611C0F" w14:textId="03324896" w:rsidR="000E330F" w:rsidRDefault="000E330F" w:rsidP="0064081E">
            <w:pPr>
              <w:spacing w:before="60" w:afterLines="60" w:after="144" w:line="276" w:lineRule="auto"/>
              <w:ind w:left="227" w:right="232"/>
              <w:jc w:val="both"/>
              <w:rPr>
                <w:rFonts w:cs="Arial"/>
                <w:bCs/>
                <w:szCs w:val="20"/>
                <w:u w:val="single"/>
              </w:rPr>
            </w:pPr>
            <w:r w:rsidRPr="00A70C6E">
              <w:rPr>
                <w:rFonts w:cs="Arial"/>
                <w:bCs/>
                <w:szCs w:val="20"/>
              </w:rPr>
              <w:t>Stawka jednostkowa jest liczona na partnera KM (dwie formy edukacyjne dotyczą partnera KM).</w:t>
            </w:r>
            <w:r w:rsidRPr="006E0BE7">
              <w:rPr>
                <w:rFonts w:cs="Arial"/>
                <w:bCs/>
                <w:szCs w:val="20"/>
              </w:rPr>
              <w:t xml:space="preserve"> Jeśli </w:t>
            </w:r>
            <w:r w:rsidR="000136BD">
              <w:rPr>
                <w:rFonts w:cs="Arial"/>
                <w:bCs/>
                <w:szCs w:val="20"/>
              </w:rPr>
              <w:t xml:space="preserve">zajdzie </w:t>
            </w:r>
            <w:r w:rsidRPr="006E0BE7">
              <w:rPr>
                <w:rFonts w:cs="Arial"/>
                <w:bCs/>
                <w:szCs w:val="20"/>
              </w:rPr>
              <w:t>taka  potrzeba, z podnoszenia kompetencji w danym roku skorzystać może albo tylko członek KM, albo tylko zastępca członka KM albo każdy z nich, przy czym zawsze obowiązuje limit dwóch form edukacyjnych na partnera KM.</w:t>
            </w:r>
          </w:p>
          <w:p w14:paraId="5F7E2AB0" w14:textId="6EFBD845" w:rsidR="000E330F" w:rsidRPr="00A70C6E" w:rsidRDefault="000E330F" w:rsidP="0064081E">
            <w:pPr>
              <w:spacing w:before="60" w:afterLines="60" w:after="144" w:line="276" w:lineRule="auto"/>
              <w:ind w:left="227" w:right="232"/>
              <w:jc w:val="both"/>
              <w:rPr>
                <w:rFonts w:cs="Arial"/>
                <w:bCs/>
                <w:szCs w:val="20"/>
              </w:rPr>
            </w:pPr>
            <w:r w:rsidRPr="00A70C6E">
              <w:rPr>
                <w:rFonts w:cs="Arial"/>
                <w:bCs/>
                <w:szCs w:val="20"/>
              </w:rPr>
              <w:t xml:space="preserve">Obie formy edukacyjne muszą odbyć i zakończyć się w jednym roku kalendarzowym. Forma edukacyjna musi być związana z zakresem prac KM i obszarem </w:t>
            </w:r>
            <w:r w:rsidR="000A39D8">
              <w:rPr>
                <w:rFonts w:cs="Arial"/>
                <w:bCs/>
                <w:szCs w:val="20"/>
              </w:rPr>
              <w:t>wsparcia</w:t>
            </w:r>
            <w:r w:rsidR="000A39D8" w:rsidRPr="00A70C6E">
              <w:rPr>
                <w:rFonts w:cs="Arial"/>
                <w:bCs/>
                <w:szCs w:val="20"/>
              </w:rPr>
              <w:t xml:space="preserve"> </w:t>
            </w:r>
            <w:r>
              <w:rPr>
                <w:rFonts w:cs="Arial"/>
                <w:bCs/>
                <w:szCs w:val="20"/>
              </w:rPr>
              <w:t>FEPW</w:t>
            </w:r>
            <w:r w:rsidRPr="00A70C6E">
              <w:rPr>
                <w:rFonts w:cs="Arial"/>
                <w:bCs/>
                <w:szCs w:val="20"/>
              </w:rPr>
              <w:t xml:space="preserve">. </w:t>
            </w:r>
            <w:r w:rsidR="003329B9" w:rsidRPr="003329B9">
              <w:rPr>
                <w:rFonts w:cs="Arial"/>
                <w:bCs/>
                <w:szCs w:val="20"/>
                <w:u w:val="single"/>
              </w:rPr>
              <w:t>Formy edukacyjne to szkolenia, warsztaty, seminaria, kursy, itp., dzięki którym możliwe będzie podniesienie kompetencji przez partnera KM</w:t>
            </w:r>
            <w:r w:rsidR="003329B9">
              <w:rPr>
                <w:rFonts w:cs="Arial"/>
                <w:bCs/>
                <w:szCs w:val="20"/>
                <w:u w:val="single"/>
              </w:rPr>
              <w:t xml:space="preserve"> w związku z pełnioną rolą w KM.</w:t>
            </w:r>
            <w:r w:rsidR="003329B9" w:rsidRPr="00A70C6E">
              <w:rPr>
                <w:rFonts w:cs="Arial"/>
                <w:bCs/>
                <w:szCs w:val="20"/>
              </w:rPr>
              <w:t xml:space="preserve"> </w:t>
            </w:r>
            <w:r w:rsidR="003329B9">
              <w:rPr>
                <w:rFonts w:cs="Arial"/>
                <w:bCs/>
                <w:szCs w:val="20"/>
              </w:rPr>
              <w:t>P</w:t>
            </w:r>
            <w:r w:rsidRPr="00A70C6E">
              <w:rPr>
                <w:rFonts w:cs="Arial"/>
                <w:bCs/>
                <w:szCs w:val="20"/>
              </w:rPr>
              <w:t xml:space="preserve">otwierdzenie będzie możliwe na podstawie dokumentu zewnętrznego, takiego jak dyplom, certyfikat, </w:t>
            </w:r>
            <w:r w:rsidR="004548CE">
              <w:rPr>
                <w:rFonts w:cs="Arial"/>
                <w:bCs/>
                <w:szCs w:val="20"/>
              </w:rPr>
              <w:t xml:space="preserve">pisemne </w:t>
            </w:r>
            <w:r w:rsidRPr="00A70C6E">
              <w:rPr>
                <w:rFonts w:cs="Arial"/>
                <w:bCs/>
                <w:szCs w:val="20"/>
              </w:rPr>
              <w:t>zaświadczenie organizatora.</w:t>
            </w:r>
          </w:p>
          <w:p w14:paraId="06388778" w14:textId="77777777" w:rsidR="000E330F" w:rsidRPr="00A70C6E" w:rsidRDefault="000E330F" w:rsidP="0064081E">
            <w:pPr>
              <w:spacing w:before="60" w:afterLines="60" w:after="144" w:line="276" w:lineRule="auto"/>
              <w:ind w:left="227" w:right="232"/>
              <w:jc w:val="both"/>
              <w:rPr>
                <w:rFonts w:cs="Arial"/>
                <w:bCs/>
                <w:szCs w:val="20"/>
              </w:rPr>
            </w:pPr>
            <w:r w:rsidRPr="00A70C6E">
              <w:rPr>
                <w:rFonts w:cs="Arial"/>
                <w:bCs/>
                <w:szCs w:val="20"/>
                <w:u w:val="single"/>
              </w:rPr>
              <w:t>Moment pomiaru wskaźnika</w:t>
            </w:r>
            <w:r w:rsidRPr="00A70C6E">
              <w:rPr>
                <w:rFonts w:cs="Arial"/>
                <w:bCs/>
                <w:szCs w:val="20"/>
              </w:rPr>
              <w:t>: Po zakończeniu udziału członka KM lub jego zastępcy w dwóch formach edukacyjnych w danym roku kalendarzowym.</w:t>
            </w:r>
          </w:p>
          <w:p w14:paraId="69306E7E" w14:textId="69C07F08" w:rsidR="000E330F" w:rsidRDefault="000E330F" w:rsidP="0064081E">
            <w:pPr>
              <w:spacing w:before="60" w:afterLines="60" w:after="144" w:line="276" w:lineRule="auto"/>
              <w:ind w:left="227" w:right="232"/>
              <w:jc w:val="both"/>
              <w:rPr>
                <w:rFonts w:cs="Arial"/>
                <w:b/>
                <w:szCs w:val="20"/>
              </w:rPr>
            </w:pPr>
            <w:r w:rsidRPr="00A70C6E">
              <w:rPr>
                <w:rFonts w:cs="Arial"/>
                <w:bCs/>
                <w:szCs w:val="20"/>
                <w:u w:val="single"/>
              </w:rPr>
              <w:t>Warunki kwalifikowalności stawki jednostkowej</w:t>
            </w:r>
            <w:r w:rsidRPr="00A70C6E">
              <w:rPr>
                <w:rFonts w:cs="Arial"/>
                <w:bCs/>
                <w:szCs w:val="20"/>
              </w:rPr>
              <w:t xml:space="preserve">: </w:t>
            </w:r>
            <w:r>
              <w:rPr>
                <w:rFonts w:cs="Arial"/>
                <w:bCs/>
                <w:szCs w:val="20"/>
              </w:rPr>
              <w:t>S</w:t>
            </w:r>
            <w:r w:rsidRPr="002D0904">
              <w:rPr>
                <w:rFonts w:cs="Arial"/>
                <w:bCs/>
                <w:szCs w:val="20"/>
              </w:rPr>
              <w:t xml:space="preserve">tawka jednostkowa może być wypłacona za udział w </w:t>
            </w:r>
            <w:r>
              <w:rPr>
                <w:rFonts w:cs="Arial"/>
                <w:bCs/>
                <w:szCs w:val="20"/>
              </w:rPr>
              <w:t xml:space="preserve">danym </w:t>
            </w:r>
            <w:r w:rsidRPr="002D0904">
              <w:rPr>
                <w:rFonts w:cs="Arial"/>
                <w:bCs/>
                <w:szCs w:val="20"/>
              </w:rPr>
              <w:t xml:space="preserve">roku </w:t>
            </w:r>
            <w:r>
              <w:rPr>
                <w:rFonts w:cs="Arial"/>
                <w:bCs/>
                <w:szCs w:val="20"/>
              </w:rPr>
              <w:t xml:space="preserve">kalendarzowym </w:t>
            </w:r>
            <w:r w:rsidRPr="002D0904">
              <w:rPr>
                <w:rFonts w:cs="Arial"/>
                <w:bCs/>
                <w:szCs w:val="20"/>
              </w:rPr>
              <w:t xml:space="preserve">w </w:t>
            </w:r>
            <w:r>
              <w:rPr>
                <w:rFonts w:cs="Arial"/>
                <w:bCs/>
                <w:szCs w:val="20"/>
              </w:rPr>
              <w:t>dwóch f</w:t>
            </w:r>
            <w:r w:rsidRPr="002D0904">
              <w:rPr>
                <w:rFonts w:cs="Arial"/>
                <w:bCs/>
                <w:szCs w:val="20"/>
              </w:rPr>
              <w:t>ormach edukacyjnych</w:t>
            </w:r>
            <w:r>
              <w:rPr>
                <w:rFonts w:cs="Arial"/>
                <w:bCs/>
                <w:szCs w:val="20"/>
              </w:rPr>
              <w:t>,</w:t>
            </w:r>
            <w:r w:rsidRPr="002D0904">
              <w:rPr>
                <w:rFonts w:cs="Arial"/>
                <w:bCs/>
                <w:szCs w:val="20"/>
              </w:rPr>
              <w:t xml:space="preserve">  albo członka</w:t>
            </w:r>
            <w:r w:rsidR="00865313">
              <w:rPr>
                <w:rFonts w:cs="Arial"/>
                <w:bCs/>
                <w:szCs w:val="20"/>
              </w:rPr>
              <w:t xml:space="preserve"> </w:t>
            </w:r>
            <w:r w:rsidR="00584E64">
              <w:rPr>
                <w:rFonts w:cs="Arial"/>
                <w:bCs/>
                <w:szCs w:val="20"/>
              </w:rPr>
              <w:t xml:space="preserve">KM </w:t>
            </w:r>
            <w:r w:rsidR="00865313">
              <w:rPr>
                <w:rFonts w:cs="Arial"/>
                <w:bCs/>
                <w:szCs w:val="20"/>
              </w:rPr>
              <w:t>(2 formy edukacyjne)</w:t>
            </w:r>
            <w:r w:rsidRPr="002D0904">
              <w:rPr>
                <w:rFonts w:cs="Arial"/>
                <w:bCs/>
                <w:szCs w:val="20"/>
              </w:rPr>
              <w:t xml:space="preserve"> albo jego zastępcy</w:t>
            </w:r>
            <w:r w:rsidR="00865313">
              <w:rPr>
                <w:rFonts w:cs="Arial"/>
                <w:bCs/>
                <w:szCs w:val="20"/>
              </w:rPr>
              <w:t xml:space="preserve"> (2 formy edukacyjne), albo obu z nich, lecz z zastrzeżeniem, że każdy z nich może skorzystać wyłącznie z jednej formy edukacyjnej </w:t>
            </w:r>
            <w:r w:rsidRPr="002D0904">
              <w:rPr>
                <w:rFonts w:cs="Arial"/>
                <w:bCs/>
                <w:szCs w:val="20"/>
              </w:rPr>
              <w:t xml:space="preserve">. </w:t>
            </w:r>
            <w:r w:rsidRPr="000A39D8">
              <w:rPr>
                <w:rFonts w:cs="Arial"/>
                <w:b/>
                <w:szCs w:val="20"/>
              </w:rPr>
              <w:t xml:space="preserve">Warunkiem uzyskania finansowania jest przedłożenie do IZ dokumentów poświadczających udział członka KM </w:t>
            </w:r>
            <w:r w:rsidR="000136BD">
              <w:rPr>
                <w:rFonts w:cs="Arial"/>
                <w:b/>
                <w:szCs w:val="20"/>
              </w:rPr>
              <w:t>i/</w:t>
            </w:r>
            <w:r w:rsidRPr="000A39D8">
              <w:rPr>
                <w:rFonts w:cs="Arial"/>
                <w:b/>
                <w:szCs w:val="20"/>
              </w:rPr>
              <w:t xml:space="preserve">lub jego zastępcy w dwóch formach edukacyjnych (certyfikat, dyplom, </w:t>
            </w:r>
            <w:r w:rsidR="004548CE">
              <w:rPr>
                <w:rFonts w:cs="Arial"/>
                <w:b/>
                <w:szCs w:val="20"/>
              </w:rPr>
              <w:t xml:space="preserve">pisemne </w:t>
            </w:r>
            <w:r w:rsidRPr="000A39D8">
              <w:rPr>
                <w:rFonts w:cs="Arial"/>
                <w:b/>
                <w:szCs w:val="20"/>
              </w:rPr>
              <w:t xml:space="preserve">zaświadczenie organizatora potwierdzające udział członka </w:t>
            </w:r>
            <w:r w:rsidR="00A75D31">
              <w:rPr>
                <w:rFonts w:cs="Arial"/>
                <w:b/>
                <w:szCs w:val="20"/>
              </w:rPr>
              <w:t>i/</w:t>
            </w:r>
            <w:r w:rsidRPr="000A39D8">
              <w:rPr>
                <w:rFonts w:cs="Arial"/>
                <w:b/>
                <w:szCs w:val="20"/>
              </w:rPr>
              <w:t xml:space="preserve">lub </w:t>
            </w:r>
            <w:r w:rsidR="004D2F2F">
              <w:rPr>
                <w:rFonts w:cs="Arial"/>
                <w:b/>
                <w:szCs w:val="20"/>
              </w:rPr>
              <w:t xml:space="preserve">jego </w:t>
            </w:r>
            <w:r w:rsidRPr="000A39D8">
              <w:rPr>
                <w:rFonts w:cs="Arial"/>
                <w:b/>
                <w:szCs w:val="20"/>
              </w:rPr>
              <w:t>zastępcy w formie edukacyjnej).</w:t>
            </w:r>
          </w:p>
          <w:p w14:paraId="2340216B" w14:textId="3B0FD378" w:rsidR="00E86E6B" w:rsidRPr="008E01F2" w:rsidRDefault="00445CC3" w:rsidP="0064081E">
            <w:pPr>
              <w:spacing w:before="60" w:afterLines="60" w:after="144" w:line="276" w:lineRule="auto"/>
              <w:ind w:right="232"/>
              <w:jc w:val="both"/>
              <w:rPr>
                <w:rFonts w:cs="Arial"/>
                <w:b/>
                <w:bCs/>
                <w:szCs w:val="20"/>
              </w:rPr>
            </w:pPr>
            <w:r>
              <w:rPr>
                <w:rFonts w:cs="Arial"/>
                <w:b/>
                <w:szCs w:val="20"/>
              </w:rPr>
              <w:t>I</w:t>
            </w:r>
            <w:r w:rsidR="000E330F">
              <w:rPr>
                <w:rFonts w:cs="Arial"/>
                <w:b/>
                <w:szCs w:val="20"/>
              </w:rPr>
              <w:t>I</w:t>
            </w:r>
            <w:r>
              <w:rPr>
                <w:rFonts w:cs="Arial"/>
                <w:b/>
                <w:szCs w:val="20"/>
              </w:rPr>
              <w:t xml:space="preserve">. </w:t>
            </w:r>
            <w:r w:rsidR="000E254D" w:rsidRPr="00A70C6E">
              <w:rPr>
                <w:rFonts w:cs="Arial"/>
                <w:b/>
                <w:szCs w:val="20"/>
              </w:rPr>
              <w:t xml:space="preserve">Stawka jednostkowa na przygotowanie do posiedzeń KM </w:t>
            </w:r>
            <w:r w:rsidR="00E86E6B" w:rsidRPr="00FC171F">
              <w:rPr>
                <w:rFonts w:cs="Arial"/>
                <w:b/>
                <w:bCs/>
                <w:szCs w:val="20"/>
              </w:rPr>
              <w:t>dla partnera KM FE</w:t>
            </w:r>
            <w:r w:rsidR="008A70DA">
              <w:rPr>
                <w:rFonts w:cs="Arial"/>
                <w:b/>
                <w:bCs/>
                <w:szCs w:val="20"/>
              </w:rPr>
              <w:t>PW</w:t>
            </w:r>
          </w:p>
          <w:p w14:paraId="631B7CA4" w14:textId="06B11BE1" w:rsidR="00B31260" w:rsidRPr="00730D2C" w:rsidRDefault="00B31260" w:rsidP="00B31260">
            <w:pPr>
              <w:spacing w:before="60" w:afterLines="60" w:after="144" w:line="276" w:lineRule="auto"/>
              <w:ind w:right="232"/>
              <w:jc w:val="both"/>
              <w:rPr>
                <w:rFonts w:cs="Arial"/>
                <w:szCs w:val="20"/>
              </w:rPr>
            </w:pPr>
          </w:p>
          <w:p w14:paraId="580D2AA0" w14:textId="5802FCAC" w:rsidR="00626FB3" w:rsidRDefault="00626FB3" w:rsidP="0064081E">
            <w:pPr>
              <w:pStyle w:val="Tekstkomentarza"/>
              <w:spacing w:before="60" w:afterLines="60" w:after="144" w:line="276" w:lineRule="auto"/>
              <w:ind w:left="279"/>
              <w:rPr>
                <w:rFonts w:cs="Arial"/>
              </w:rPr>
            </w:pPr>
            <w:r w:rsidRPr="00296F26">
              <w:t xml:space="preserve">Zgodnie z </w:t>
            </w:r>
            <w:r w:rsidRPr="00A74CCC">
              <w:rPr>
                <w:i/>
                <w:iCs/>
              </w:rPr>
              <w:t xml:space="preserve">Wytycznymi dot. komitetów monitorujących </w:t>
            </w:r>
            <w:r w:rsidR="00703CE0" w:rsidRPr="00A74CCC">
              <w:rPr>
                <w:i/>
                <w:iCs/>
              </w:rPr>
              <w:t>20</w:t>
            </w:r>
            <w:r w:rsidRPr="00A74CCC">
              <w:rPr>
                <w:i/>
                <w:iCs/>
              </w:rPr>
              <w:t>21-</w:t>
            </w:r>
            <w:r w:rsidR="00703CE0" w:rsidRPr="00A74CCC">
              <w:rPr>
                <w:i/>
                <w:iCs/>
              </w:rPr>
              <w:t>20</w:t>
            </w:r>
            <w:r w:rsidRPr="00A74CCC">
              <w:rPr>
                <w:i/>
                <w:iCs/>
              </w:rPr>
              <w:t>27</w:t>
            </w:r>
            <w:r w:rsidRPr="00296F26">
              <w:t xml:space="preserve">, </w:t>
            </w:r>
            <w:r w:rsidR="001B18F6">
              <w:t xml:space="preserve">do </w:t>
            </w:r>
            <w:r w:rsidR="001B18F6" w:rsidRPr="001C2A8F">
              <w:rPr>
                <w:rFonts w:cs="Arial"/>
                <w:spacing w:val="4"/>
              </w:rPr>
              <w:t xml:space="preserve">20 grudnia każdego roku </w:t>
            </w:r>
            <w:r w:rsidR="001B18F6">
              <w:rPr>
                <w:rFonts w:cs="Arial"/>
                <w:spacing w:val="4"/>
              </w:rPr>
              <w:t xml:space="preserve">osoby wyznaczone do </w:t>
            </w:r>
            <w:r w:rsidR="00477861">
              <w:rPr>
                <w:rFonts w:cs="Arial"/>
                <w:spacing w:val="4"/>
              </w:rPr>
              <w:t xml:space="preserve">prac w ramach </w:t>
            </w:r>
            <w:r w:rsidR="001B18F6">
              <w:rPr>
                <w:rFonts w:cs="Arial"/>
                <w:spacing w:val="4"/>
              </w:rPr>
              <w:t>Komitetu otrzymują indykatywny harmonogram posiedzeń na kolejny rok.</w:t>
            </w:r>
            <w:r w:rsidR="001B18F6" w:rsidDel="001B18F6">
              <w:t xml:space="preserve"> </w:t>
            </w:r>
            <w:r w:rsidR="00703CE0">
              <w:t>U</w:t>
            </w:r>
            <w:r w:rsidRPr="00296F26">
              <w:t xml:space="preserve">możliwi </w:t>
            </w:r>
            <w:r w:rsidR="00703CE0">
              <w:t xml:space="preserve">to </w:t>
            </w:r>
            <w:r w:rsidRPr="00296F26">
              <w:t xml:space="preserve">partnerom </w:t>
            </w:r>
            <w:r w:rsidR="00703CE0">
              <w:t xml:space="preserve">KM </w:t>
            </w:r>
            <w:r w:rsidRPr="00296F26">
              <w:t xml:space="preserve">zaplanowanie </w:t>
            </w:r>
            <w:r w:rsidR="00477861">
              <w:t>w nadchodzącym</w:t>
            </w:r>
            <w:r w:rsidR="00703CE0">
              <w:t xml:space="preserve"> roku kalendarzowym </w:t>
            </w:r>
            <w:r w:rsidRPr="00296F26">
              <w:t xml:space="preserve">odpowiedniej liczby </w:t>
            </w:r>
            <w:r w:rsidR="00703CE0" w:rsidRPr="00703CE0">
              <w:t>konsultacji ze środowiskiem</w:t>
            </w:r>
            <w:r w:rsidR="00DD1C95">
              <w:t>, które reprezentuje</w:t>
            </w:r>
            <w:r w:rsidR="008F4B0E">
              <w:t>.</w:t>
            </w:r>
            <w:r>
              <w:t xml:space="preserve"> </w:t>
            </w:r>
            <w:r w:rsidRPr="00A70C6E">
              <w:rPr>
                <w:rFonts w:cs="Arial"/>
              </w:rPr>
              <w:t xml:space="preserve">W zależności </w:t>
            </w:r>
            <w:r>
              <w:rPr>
                <w:rFonts w:cs="Arial"/>
              </w:rPr>
              <w:t xml:space="preserve">więc </w:t>
            </w:r>
            <w:r w:rsidRPr="00A70C6E">
              <w:rPr>
                <w:rFonts w:cs="Arial"/>
              </w:rPr>
              <w:t xml:space="preserve">od intensywności prac KM w danym roku kalendarzowym </w:t>
            </w:r>
            <w:r>
              <w:rPr>
                <w:rFonts w:cs="Arial"/>
              </w:rPr>
              <w:t xml:space="preserve">oraz </w:t>
            </w:r>
            <w:r w:rsidRPr="00A70C6E">
              <w:rPr>
                <w:rFonts w:cs="Arial"/>
              </w:rPr>
              <w:t>potrzeb partnera KM</w:t>
            </w:r>
            <w:r>
              <w:rPr>
                <w:rFonts w:cs="Arial"/>
              </w:rPr>
              <w:t xml:space="preserve">, </w:t>
            </w:r>
            <w:r w:rsidRPr="00A70C6E">
              <w:rPr>
                <w:rFonts w:cs="Arial"/>
              </w:rPr>
              <w:t xml:space="preserve">będzie </w:t>
            </w:r>
            <w:r w:rsidR="00E7743C">
              <w:rPr>
                <w:rFonts w:cs="Arial"/>
              </w:rPr>
              <w:t xml:space="preserve">on </w:t>
            </w:r>
            <w:r>
              <w:rPr>
                <w:rFonts w:cs="Arial"/>
              </w:rPr>
              <w:t xml:space="preserve">ustalał </w:t>
            </w:r>
            <w:r w:rsidR="00DD0EB2">
              <w:rPr>
                <w:rFonts w:cs="Arial"/>
              </w:rPr>
              <w:t xml:space="preserve">niezbędną </w:t>
            </w:r>
            <w:r>
              <w:rPr>
                <w:rFonts w:cs="Arial"/>
              </w:rPr>
              <w:t xml:space="preserve">liczbę </w:t>
            </w:r>
            <w:r>
              <w:rPr>
                <w:rFonts w:cs="Arial"/>
              </w:rPr>
              <w:lastRenderedPageBreak/>
              <w:t xml:space="preserve">spotkań dotyczących konsultacji </w:t>
            </w:r>
            <w:r w:rsidRPr="00A70C6E">
              <w:rPr>
                <w:rFonts w:cs="Arial"/>
              </w:rPr>
              <w:t>ze środowiskiem</w:t>
            </w:r>
            <w:r>
              <w:rPr>
                <w:rFonts w:cs="Arial"/>
              </w:rPr>
              <w:t>.</w:t>
            </w:r>
            <w:r w:rsidR="008F4B0E">
              <w:rPr>
                <w:rFonts w:cs="Arial"/>
              </w:rPr>
              <w:t xml:space="preserve"> </w:t>
            </w:r>
            <w:r w:rsidR="009D72C9">
              <w:rPr>
                <w:rFonts w:cs="Arial"/>
              </w:rPr>
              <w:t>W danym roku l</w:t>
            </w:r>
            <w:r w:rsidR="008F4B0E">
              <w:rPr>
                <w:rFonts w:cs="Arial"/>
              </w:rPr>
              <w:t>iczba spotkań nie może być większa niż licz</w:t>
            </w:r>
            <w:r w:rsidR="009D72C9">
              <w:rPr>
                <w:rFonts w:cs="Arial"/>
              </w:rPr>
              <w:t>ba posiedzeń KM</w:t>
            </w:r>
            <w:r w:rsidR="00B00B53">
              <w:rPr>
                <w:rFonts w:cs="Arial"/>
              </w:rPr>
              <w:t>.</w:t>
            </w:r>
            <w:r>
              <w:rPr>
                <w:rFonts w:cs="Arial"/>
              </w:rPr>
              <w:t xml:space="preserve"> </w:t>
            </w:r>
            <w:r w:rsidR="009A7297">
              <w:rPr>
                <w:rFonts w:cs="Arial"/>
              </w:rPr>
              <w:t xml:space="preserve">Spotkanie może być zorganizowane w </w:t>
            </w:r>
            <w:r w:rsidR="00E7743C">
              <w:rPr>
                <w:rFonts w:cs="Arial"/>
              </w:rPr>
              <w:t>formule</w:t>
            </w:r>
            <w:r w:rsidR="00477861">
              <w:rPr>
                <w:rFonts w:cs="Arial"/>
              </w:rPr>
              <w:t xml:space="preserve"> stacjonarnej lub</w:t>
            </w:r>
            <w:r w:rsidR="00E7743C">
              <w:rPr>
                <w:rFonts w:cs="Arial"/>
              </w:rPr>
              <w:t xml:space="preserve"> </w:t>
            </w:r>
            <w:r w:rsidR="009A7297">
              <w:rPr>
                <w:rFonts w:cs="Arial"/>
              </w:rPr>
              <w:t>hybrydow</w:t>
            </w:r>
            <w:r w:rsidR="00E7743C">
              <w:rPr>
                <w:rFonts w:cs="Arial"/>
              </w:rPr>
              <w:t xml:space="preserve">ej </w:t>
            </w:r>
            <w:r w:rsidR="00F772A7">
              <w:rPr>
                <w:rFonts w:cs="Arial"/>
              </w:rPr>
              <w:t>(stacjonarnie i zdalnie)</w:t>
            </w:r>
            <w:r w:rsidR="00DD0EB2">
              <w:rPr>
                <w:rFonts w:cs="Arial"/>
              </w:rPr>
              <w:t xml:space="preserve"> </w:t>
            </w:r>
            <w:r w:rsidR="009E3807">
              <w:rPr>
                <w:rFonts w:cs="Arial"/>
              </w:rPr>
              <w:t xml:space="preserve">pod warunkiem zachowania </w:t>
            </w:r>
            <w:r w:rsidR="009759BB">
              <w:rPr>
                <w:rFonts w:cs="Arial"/>
              </w:rPr>
              <w:t xml:space="preserve">w obu przypadkach </w:t>
            </w:r>
            <w:r w:rsidR="009E3807">
              <w:rPr>
                <w:rFonts w:cs="Arial"/>
              </w:rPr>
              <w:t>wymogu obecności minimalnej liczby</w:t>
            </w:r>
            <w:r w:rsidR="009759BB">
              <w:rPr>
                <w:rFonts w:cs="Arial"/>
              </w:rPr>
              <w:t>, tj. 12</w:t>
            </w:r>
            <w:r w:rsidR="009E3807">
              <w:rPr>
                <w:rFonts w:cs="Arial"/>
              </w:rPr>
              <w:t xml:space="preserve"> osób na spotkaniu stacjonarn</w:t>
            </w:r>
            <w:r w:rsidR="009759BB">
              <w:rPr>
                <w:rFonts w:cs="Arial"/>
              </w:rPr>
              <w:t>ie</w:t>
            </w:r>
            <w:r w:rsidR="009A7297">
              <w:rPr>
                <w:rFonts w:cs="Arial"/>
              </w:rPr>
              <w:t xml:space="preserve">. </w:t>
            </w:r>
            <w:r w:rsidR="008F0C8C" w:rsidRPr="00730D2C">
              <w:rPr>
                <w:rFonts w:cs="Arial"/>
              </w:rPr>
              <w:t xml:space="preserve"> Formuła spotkania zależy od partnera </w:t>
            </w:r>
            <w:r w:rsidR="008F0C8C">
              <w:rPr>
                <w:rFonts w:cs="Arial"/>
              </w:rPr>
              <w:t>KM</w:t>
            </w:r>
            <w:r w:rsidR="002B5414">
              <w:rPr>
                <w:rFonts w:cs="Arial"/>
              </w:rPr>
              <w:t xml:space="preserve"> </w:t>
            </w:r>
            <w:r w:rsidR="008F0C8C" w:rsidRPr="00730D2C">
              <w:rPr>
                <w:rFonts w:cs="Arial"/>
              </w:rPr>
              <w:t>- prowadzenie konsultacji, organizacja spotkań, opiniowanie materiałów i uzgadnianie stanowisk, przygotowanie niezbędnych strategii, podsumowań lub analiz.</w:t>
            </w:r>
          </w:p>
          <w:p w14:paraId="3A4036D9" w14:textId="401256CE" w:rsidR="00336A0F" w:rsidRPr="00A70C6E" w:rsidRDefault="002F2E97" w:rsidP="0064081E">
            <w:pPr>
              <w:spacing w:before="60" w:afterLines="60" w:after="144" w:line="276" w:lineRule="auto"/>
              <w:ind w:left="269" w:right="232"/>
              <w:jc w:val="both"/>
              <w:rPr>
                <w:rFonts w:cs="Arial"/>
                <w:bCs/>
                <w:szCs w:val="20"/>
              </w:rPr>
            </w:pPr>
            <w:r w:rsidRPr="00A70C6E">
              <w:rPr>
                <w:rFonts w:cs="Arial"/>
                <w:bCs/>
                <w:szCs w:val="20"/>
                <w:u w:val="single"/>
              </w:rPr>
              <w:t xml:space="preserve">Nazwa </w:t>
            </w:r>
            <w:r w:rsidR="00336A0F" w:rsidRPr="00A70C6E">
              <w:rPr>
                <w:rFonts w:cs="Arial"/>
                <w:bCs/>
                <w:szCs w:val="20"/>
                <w:u w:val="single"/>
              </w:rPr>
              <w:t>wskaźnika</w:t>
            </w:r>
            <w:r w:rsidR="00336A0F" w:rsidRPr="00A70C6E">
              <w:rPr>
                <w:rFonts w:cs="Arial"/>
                <w:bCs/>
                <w:szCs w:val="20"/>
              </w:rPr>
              <w:t xml:space="preserve">: </w:t>
            </w:r>
            <w:r w:rsidR="003401E8">
              <w:rPr>
                <w:rFonts w:cs="Arial"/>
                <w:bCs/>
                <w:szCs w:val="20"/>
              </w:rPr>
              <w:t xml:space="preserve">Liczba </w:t>
            </w:r>
            <w:r w:rsidR="0051016A" w:rsidRPr="00A70C6E">
              <w:rPr>
                <w:rFonts w:cs="Arial"/>
                <w:szCs w:val="20"/>
              </w:rPr>
              <w:t>konsultacj</w:t>
            </w:r>
            <w:r w:rsidR="003401E8">
              <w:rPr>
                <w:rFonts w:cs="Arial"/>
                <w:szCs w:val="20"/>
              </w:rPr>
              <w:t>i</w:t>
            </w:r>
            <w:r w:rsidR="0051016A" w:rsidRPr="00A70C6E">
              <w:rPr>
                <w:rFonts w:cs="Arial"/>
                <w:szCs w:val="20"/>
              </w:rPr>
              <w:t xml:space="preserve"> ze środowiskiem przeprowadzon</w:t>
            </w:r>
            <w:r w:rsidR="00DD0EB2">
              <w:rPr>
                <w:rFonts w:cs="Arial"/>
                <w:szCs w:val="20"/>
              </w:rPr>
              <w:t>ych</w:t>
            </w:r>
            <w:r w:rsidR="0051016A" w:rsidRPr="00A70C6E">
              <w:rPr>
                <w:rFonts w:cs="Arial"/>
                <w:szCs w:val="20"/>
              </w:rPr>
              <w:t xml:space="preserve"> przez partnera KM</w:t>
            </w:r>
            <w:r w:rsidR="007A3583" w:rsidRPr="00A70C6E">
              <w:rPr>
                <w:rFonts w:cs="Arial"/>
                <w:bCs/>
                <w:szCs w:val="20"/>
              </w:rPr>
              <w:t>.</w:t>
            </w:r>
            <w:r w:rsidR="00336A0F" w:rsidRPr="00A70C6E">
              <w:rPr>
                <w:rFonts w:cs="Arial"/>
                <w:bCs/>
                <w:szCs w:val="20"/>
              </w:rPr>
              <w:t xml:space="preserve">  </w:t>
            </w:r>
          </w:p>
          <w:p w14:paraId="4C850690" w14:textId="25B42D50" w:rsidR="006C60BD" w:rsidRPr="00A70C6E" w:rsidRDefault="006C60BD" w:rsidP="0064081E">
            <w:pPr>
              <w:spacing w:before="60" w:afterLines="60" w:after="144" w:line="276" w:lineRule="auto"/>
              <w:ind w:left="269" w:right="232"/>
              <w:jc w:val="both"/>
              <w:rPr>
                <w:rFonts w:cs="Arial"/>
                <w:bCs/>
                <w:szCs w:val="20"/>
              </w:rPr>
            </w:pPr>
            <w:r w:rsidRPr="00A70C6E">
              <w:rPr>
                <w:rFonts w:cs="Arial"/>
                <w:bCs/>
                <w:szCs w:val="20"/>
                <w:u w:val="single"/>
              </w:rPr>
              <w:t>Sposób pomiaru wskaźnika</w:t>
            </w:r>
            <w:r w:rsidRPr="00A70C6E">
              <w:rPr>
                <w:rFonts w:cs="Arial"/>
                <w:bCs/>
                <w:szCs w:val="20"/>
              </w:rPr>
              <w:t xml:space="preserve">: </w:t>
            </w:r>
            <w:r w:rsidR="00F36FFD" w:rsidRPr="00A70C6E">
              <w:rPr>
                <w:rFonts w:cs="Arial"/>
                <w:bCs/>
                <w:szCs w:val="20"/>
              </w:rPr>
              <w:t>Stawka jednostkowa jest kwalifikowalna, gdy partner</w:t>
            </w:r>
            <w:r w:rsidR="002F2E97" w:rsidRPr="00A70C6E">
              <w:rPr>
                <w:rFonts w:cs="Arial"/>
                <w:bCs/>
                <w:szCs w:val="20"/>
              </w:rPr>
              <w:t xml:space="preserve"> KM</w:t>
            </w:r>
            <w:r w:rsidR="00F36FFD" w:rsidRPr="00A70C6E">
              <w:rPr>
                <w:rFonts w:cs="Arial"/>
                <w:bCs/>
                <w:szCs w:val="20"/>
              </w:rPr>
              <w:t xml:space="preserve"> wykaże </w:t>
            </w:r>
            <w:r w:rsidRPr="00A70C6E">
              <w:rPr>
                <w:rFonts w:cs="Arial"/>
                <w:bCs/>
                <w:szCs w:val="20"/>
              </w:rPr>
              <w:t>przeprowadzeni</w:t>
            </w:r>
            <w:r w:rsidR="00F36FFD" w:rsidRPr="00A70C6E">
              <w:rPr>
                <w:rFonts w:cs="Arial"/>
                <w:bCs/>
                <w:szCs w:val="20"/>
              </w:rPr>
              <w:t>e</w:t>
            </w:r>
            <w:r w:rsidRPr="00A70C6E">
              <w:rPr>
                <w:rFonts w:cs="Arial"/>
                <w:bCs/>
                <w:szCs w:val="20"/>
              </w:rPr>
              <w:t xml:space="preserve"> spotkania konsultacyjnego </w:t>
            </w:r>
            <w:r w:rsidR="002F2E97" w:rsidRPr="00A70C6E">
              <w:rPr>
                <w:rFonts w:cs="Arial"/>
                <w:bCs/>
                <w:szCs w:val="20"/>
              </w:rPr>
              <w:t xml:space="preserve">ze środowiskiem </w:t>
            </w:r>
            <w:r w:rsidRPr="00A70C6E">
              <w:rPr>
                <w:rFonts w:cs="Arial"/>
                <w:bCs/>
                <w:szCs w:val="20"/>
              </w:rPr>
              <w:t xml:space="preserve">w </w:t>
            </w:r>
            <w:r w:rsidR="002F2E97" w:rsidRPr="00A70C6E">
              <w:rPr>
                <w:rFonts w:cs="Arial"/>
                <w:bCs/>
                <w:szCs w:val="20"/>
              </w:rPr>
              <w:t xml:space="preserve">danym </w:t>
            </w:r>
            <w:r w:rsidRPr="00A70C6E">
              <w:rPr>
                <w:rFonts w:cs="Arial"/>
                <w:bCs/>
                <w:szCs w:val="20"/>
              </w:rPr>
              <w:t xml:space="preserve">roku </w:t>
            </w:r>
            <w:r w:rsidR="002F2E97" w:rsidRPr="00A70C6E">
              <w:rPr>
                <w:rFonts w:cs="Arial"/>
                <w:bCs/>
                <w:szCs w:val="20"/>
              </w:rPr>
              <w:t xml:space="preserve">kalendarzowym, </w:t>
            </w:r>
            <w:r w:rsidRPr="00A70C6E">
              <w:rPr>
                <w:rFonts w:cs="Arial"/>
                <w:bCs/>
                <w:szCs w:val="20"/>
              </w:rPr>
              <w:t>przewidzianego w umowie zawieranej przez IZ z partnerem</w:t>
            </w:r>
            <w:r w:rsidR="002F2E97" w:rsidRPr="00A70C6E">
              <w:rPr>
                <w:rFonts w:cs="Arial"/>
                <w:bCs/>
                <w:szCs w:val="20"/>
              </w:rPr>
              <w:t xml:space="preserve"> KM</w:t>
            </w:r>
            <w:r w:rsidRPr="00A70C6E">
              <w:rPr>
                <w:rFonts w:cs="Arial"/>
                <w:bCs/>
                <w:szCs w:val="20"/>
              </w:rPr>
              <w:t>.</w:t>
            </w:r>
          </w:p>
          <w:p w14:paraId="26599316" w14:textId="56A49B1B" w:rsidR="006C60BD" w:rsidRPr="00A70C6E" w:rsidRDefault="006C60BD" w:rsidP="0064081E">
            <w:pPr>
              <w:spacing w:before="60" w:afterLines="60" w:after="144" w:line="276" w:lineRule="auto"/>
              <w:ind w:left="269" w:right="232"/>
              <w:jc w:val="both"/>
              <w:rPr>
                <w:rFonts w:cs="Arial"/>
                <w:bCs/>
                <w:szCs w:val="20"/>
              </w:rPr>
            </w:pPr>
            <w:r w:rsidRPr="00A70C6E">
              <w:rPr>
                <w:rFonts w:cs="Arial"/>
                <w:bCs/>
                <w:szCs w:val="20"/>
                <w:u w:val="single"/>
              </w:rPr>
              <w:t>Moment pomiaru wskaźnika</w:t>
            </w:r>
            <w:r w:rsidRPr="00A70C6E">
              <w:rPr>
                <w:rFonts w:cs="Arial"/>
                <w:bCs/>
                <w:szCs w:val="20"/>
              </w:rPr>
              <w:t>: Po zakończeniu spotkania konsultacyjnego</w:t>
            </w:r>
            <w:r w:rsidR="002F2E97" w:rsidRPr="00A70C6E">
              <w:rPr>
                <w:rFonts w:cs="Arial"/>
                <w:bCs/>
                <w:szCs w:val="20"/>
              </w:rPr>
              <w:t xml:space="preserve">, </w:t>
            </w:r>
            <w:r w:rsidR="00835593" w:rsidRPr="00A70C6E">
              <w:rPr>
                <w:rFonts w:cs="Arial"/>
                <w:bCs/>
                <w:szCs w:val="20"/>
              </w:rPr>
              <w:t xml:space="preserve">przewidzianego </w:t>
            </w:r>
            <w:r w:rsidRPr="00A70C6E">
              <w:rPr>
                <w:rFonts w:cs="Arial"/>
                <w:bCs/>
                <w:szCs w:val="20"/>
              </w:rPr>
              <w:t>w umowie zawieranej przez IZ z partnerem</w:t>
            </w:r>
            <w:r w:rsidR="002F2E97" w:rsidRPr="00A70C6E">
              <w:rPr>
                <w:rFonts w:cs="Arial"/>
                <w:bCs/>
                <w:szCs w:val="20"/>
              </w:rPr>
              <w:t xml:space="preserve"> KM i po jego udokumentowaniu</w:t>
            </w:r>
            <w:r w:rsidRPr="00A70C6E">
              <w:rPr>
                <w:rFonts w:cs="Arial"/>
                <w:bCs/>
                <w:szCs w:val="20"/>
              </w:rPr>
              <w:t>.</w:t>
            </w:r>
          </w:p>
          <w:p w14:paraId="6C8ECA05" w14:textId="75B876D2" w:rsidR="000E254D" w:rsidRPr="000A39D8" w:rsidRDefault="006C60BD" w:rsidP="00334587">
            <w:pPr>
              <w:spacing w:before="60" w:afterLines="60" w:after="144" w:line="276" w:lineRule="auto"/>
              <w:ind w:left="269" w:right="232"/>
              <w:jc w:val="both"/>
              <w:rPr>
                <w:rFonts w:cs="Arial"/>
                <w:b/>
                <w:szCs w:val="20"/>
              </w:rPr>
            </w:pPr>
            <w:r w:rsidRPr="00A70C6E">
              <w:rPr>
                <w:rFonts w:cs="Arial"/>
                <w:bCs/>
                <w:szCs w:val="20"/>
                <w:u w:val="single"/>
              </w:rPr>
              <w:t>Warunki kwalifikowalności stawki jednostkowej</w:t>
            </w:r>
            <w:r w:rsidRPr="00A70C6E">
              <w:rPr>
                <w:rFonts w:cs="Arial"/>
                <w:bCs/>
                <w:szCs w:val="20"/>
              </w:rPr>
              <w:t xml:space="preserve">: </w:t>
            </w:r>
            <w:r w:rsidR="003401E8" w:rsidRPr="0057124D">
              <w:t>Stawka jednostkowa dotyczy</w:t>
            </w:r>
            <w:r w:rsidR="009A7297">
              <w:t xml:space="preserve"> przeprowadzenia</w:t>
            </w:r>
            <w:r w:rsidR="00511AB7">
              <w:t xml:space="preserve"> w danym roku kalendarzowym </w:t>
            </w:r>
            <w:r w:rsidR="009A7297">
              <w:t xml:space="preserve"> jednej </w:t>
            </w:r>
            <w:r w:rsidR="003401E8" w:rsidRPr="0057124D">
              <w:t xml:space="preserve">konsultacji ze środowiskiem </w:t>
            </w:r>
            <w:r w:rsidR="00DD1C95">
              <w:t xml:space="preserve">przez </w:t>
            </w:r>
            <w:r w:rsidR="003401E8" w:rsidRPr="0057124D">
              <w:t>partnera KM</w:t>
            </w:r>
            <w:r w:rsidR="00DD1C95">
              <w:t>, który</w:t>
            </w:r>
            <w:r w:rsidR="003401E8" w:rsidRPr="0057124D">
              <w:t xml:space="preserve"> </w:t>
            </w:r>
            <w:r w:rsidR="00DD1C95">
              <w:t xml:space="preserve">je </w:t>
            </w:r>
            <w:r w:rsidR="003401E8" w:rsidRPr="0057124D">
              <w:t>reprezentuje.</w:t>
            </w:r>
            <w:r w:rsidR="008F0C8C" w:rsidRPr="00730D2C">
              <w:rPr>
                <w:rFonts w:cs="Arial"/>
                <w:szCs w:val="20"/>
              </w:rPr>
              <w:t xml:space="preserve"> </w:t>
            </w:r>
            <w:r w:rsidR="008F0C8C" w:rsidRPr="001D44FF">
              <w:rPr>
                <w:rFonts w:cs="Arial"/>
                <w:szCs w:val="20"/>
              </w:rPr>
              <w:t>W stawce jednostkowej mieszczą się wszystkie koszty związane z organizacją spotka</w:t>
            </w:r>
            <w:r w:rsidR="008F0C8C" w:rsidRPr="00877399">
              <w:rPr>
                <w:rFonts w:cs="Arial"/>
                <w:szCs w:val="20"/>
              </w:rPr>
              <w:t>ń</w:t>
            </w:r>
            <w:r w:rsidR="008F0C8C" w:rsidRPr="00730D2C">
              <w:rPr>
                <w:rFonts w:cs="Arial"/>
                <w:szCs w:val="20"/>
              </w:rPr>
              <w:t xml:space="preserve"> konsultacyjnych</w:t>
            </w:r>
            <w:r w:rsidR="008F0C8C">
              <w:rPr>
                <w:rFonts w:cs="Arial"/>
                <w:szCs w:val="20"/>
              </w:rPr>
              <w:t xml:space="preserve"> (w formule stacjonarnej lub hybrydowej)</w:t>
            </w:r>
            <w:r w:rsidR="008F0C8C" w:rsidRPr="00730D2C">
              <w:rPr>
                <w:rFonts w:cs="Arial"/>
                <w:szCs w:val="20"/>
              </w:rPr>
              <w:t>, w szczególności koszt wynajmu sali i sprzętu oraz obsługi moderacji i obsługi technicznej, cateringu, udziału ekspertów branżowych i zewnętrznych, opracowanie raportu z konsultacji, informacji i promocji dot. prowadzonych konsultacji w środowisku</w:t>
            </w:r>
            <w:r w:rsidR="008F0C8C">
              <w:rPr>
                <w:rFonts w:cs="Arial"/>
                <w:szCs w:val="20"/>
              </w:rPr>
              <w:t>, jak również ewentualnych noclegów</w:t>
            </w:r>
            <w:r w:rsidR="00511AB7">
              <w:rPr>
                <w:rFonts w:cs="Arial"/>
                <w:szCs w:val="20"/>
              </w:rPr>
              <w:t>,</w:t>
            </w:r>
            <w:r w:rsidR="008F0C8C">
              <w:rPr>
                <w:rFonts w:cs="Arial"/>
                <w:szCs w:val="20"/>
              </w:rPr>
              <w:t xml:space="preserve"> czy dojazdów. </w:t>
            </w:r>
            <w:r w:rsidR="003401E8" w:rsidRPr="0057124D">
              <w:t>Konsultacje mają na celu umożliwienie zebrania uwag/opinii od adekwatnych podmiotów/osób, z którymi partner chciałby dany temat/materiał skonsultować</w:t>
            </w:r>
            <w:r w:rsidR="009E3807">
              <w:t>.</w:t>
            </w:r>
            <w:r w:rsidR="003401E8" w:rsidRPr="0057124D">
              <w:t xml:space="preserve"> </w:t>
            </w:r>
            <w:r w:rsidR="009E3807">
              <w:t>Konsultacje te</w:t>
            </w:r>
            <w:r w:rsidR="003401E8" w:rsidRPr="0057124D">
              <w:t xml:space="preserve"> mogą być prowadzone z wieloma osobami/podmiotami, które partner reprezentuje w KM i w imieniu których przedstawia uwagi/pytania podczas posiedzeń KM.</w:t>
            </w:r>
            <w:r w:rsidR="003401E8">
              <w:t xml:space="preserve"> </w:t>
            </w:r>
            <w:r w:rsidR="00DD1C95">
              <w:t>Spotkania są kwalifikowalne pod warunkiem, że będzie w nich uczestniczyć co najmniej 12 osób.</w:t>
            </w:r>
            <w:r w:rsidR="00DD1C95" w:rsidRPr="006E0BE7">
              <w:t xml:space="preserve"> </w:t>
            </w:r>
            <w:r w:rsidR="009A7297" w:rsidRPr="006E0BE7">
              <w:rPr>
                <w:rFonts w:cs="Arial"/>
                <w:bCs/>
                <w:szCs w:val="20"/>
              </w:rPr>
              <w:t xml:space="preserve">W przypadku </w:t>
            </w:r>
            <w:r w:rsidR="00F772A7" w:rsidRPr="006E0BE7">
              <w:rPr>
                <w:rFonts w:cs="Arial"/>
                <w:bCs/>
                <w:szCs w:val="20"/>
              </w:rPr>
              <w:t xml:space="preserve">organizacji spotkania konsultacyjnego w </w:t>
            </w:r>
            <w:r w:rsidR="00E7743C" w:rsidRPr="006E0BE7">
              <w:rPr>
                <w:rFonts w:cs="Arial"/>
                <w:bCs/>
                <w:szCs w:val="20"/>
              </w:rPr>
              <w:t xml:space="preserve">formule </w:t>
            </w:r>
            <w:r w:rsidR="00F772A7" w:rsidRPr="006E0BE7">
              <w:rPr>
                <w:rFonts w:cs="Arial"/>
                <w:bCs/>
                <w:szCs w:val="20"/>
              </w:rPr>
              <w:t>hybrydow</w:t>
            </w:r>
            <w:r w:rsidR="00E7743C" w:rsidRPr="006E0BE7">
              <w:rPr>
                <w:rFonts w:cs="Arial"/>
                <w:bCs/>
                <w:szCs w:val="20"/>
              </w:rPr>
              <w:t>ej</w:t>
            </w:r>
            <w:r w:rsidR="00F772A7" w:rsidRPr="006E0BE7">
              <w:rPr>
                <w:rFonts w:cs="Arial"/>
                <w:bCs/>
                <w:szCs w:val="20"/>
              </w:rPr>
              <w:t xml:space="preserve"> stawka będzie kwalifikowalna</w:t>
            </w:r>
            <w:r w:rsidR="00E7743C" w:rsidRPr="006E0BE7">
              <w:rPr>
                <w:rFonts w:cs="Arial"/>
                <w:bCs/>
                <w:szCs w:val="20"/>
              </w:rPr>
              <w:t>,</w:t>
            </w:r>
            <w:r w:rsidR="00F772A7" w:rsidRPr="006E0BE7">
              <w:rPr>
                <w:rFonts w:cs="Arial"/>
                <w:bCs/>
                <w:szCs w:val="20"/>
              </w:rPr>
              <w:t xml:space="preserve"> o ile w spotkaniu stacjonarnie</w:t>
            </w:r>
            <w:r w:rsidR="00A116A8" w:rsidRPr="006E0BE7">
              <w:rPr>
                <w:rFonts w:cs="Arial"/>
                <w:bCs/>
                <w:szCs w:val="20"/>
              </w:rPr>
              <w:t xml:space="preserve"> </w:t>
            </w:r>
            <w:r w:rsidR="00F772A7" w:rsidRPr="006E0BE7">
              <w:rPr>
                <w:rFonts w:cs="Arial"/>
                <w:bCs/>
                <w:szCs w:val="20"/>
              </w:rPr>
              <w:t xml:space="preserve">będzie uczestniczyć minimum 12 osób. </w:t>
            </w:r>
            <w:r w:rsidRPr="000A39D8">
              <w:rPr>
                <w:rFonts w:cs="Arial"/>
                <w:b/>
                <w:szCs w:val="20"/>
              </w:rPr>
              <w:t xml:space="preserve">Warunkiem rozliczenia stawki jednostkowej jest przedłożenie do IZ sprawozdania partnera </w:t>
            </w:r>
            <w:r w:rsidR="002F2E97" w:rsidRPr="000A39D8">
              <w:rPr>
                <w:rFonts w:cs="Arial"/>
                <w:b/>
                <w:szCs w:val="20"/>
              </w:rPr>
              <w:t xml:space="preserve">KM </w:t>
            </w:r>
            <w:r w:rsidRPr="000A39D8">
              <w:rPr>
                <w:rFonts w:cs="Arial"/>
                <w:b/>
                <w:szCs w:val="20"/>
              </w:rPr>
              <w:t xml:space="preserve">z </w:t>
            </w:r>
            <w:r w:rsidR="00F22684">
              <w:rPr>
                <w:rFonts w:cs="Arial"/>
                <w:b/>
                <w:szCs w:val="20"/>
              </w:rPr>
              <w:t xml:space="preserve">organizacji </w:t>
            </w:r>
            <w:r w:rsidR="002C2FA0" w:rsidRPr="000A39D8">
              <w:rPr>
                <w:rFonts w:cs="Arial"/>
                <w:b/>
                <w:szCs w:val="20"/>
              </w:rPr>
              <w:t xml:space="preserve">każdego  </w:t>
            </w:r>
            <w:r w:rsidRPr="000A39D8">
              <w:rPr>
                <w:rFonts w:cs="Arial"/>
                <w:b/>
                <w:szCs w:val="20"/>
              </w:rPr>
              <w:t>spotk</w:t>
            </w:r>
            <w:r w:rsidR="00835593" w:rsidRPr="000A39D8">
              <w:rPr>
                <w:rFonts w:cs="Arial"/>
                <w:b/>
                <w:szCs w:val="20"/>
              </w:rPr>
              <w:t>an</w:t>
            </w:r>
            <w:r w:rsidR="002F2E97" w:rsidRPr="000A39D8">
              <w:rPr>
                <w:rFonts w:cs="Arial"/>
                <w:b/>
                <w:szCs w:val="20"/>
              </w:rPr>
              <w:t>i</w:t>
            </w:r>
            <w:r w:rsidR="00835593" w:rsidRPr="000A39D8">
              <w:rPr>
                <w:rFonts w:cs="Arial"/>
                <w:b/>
                <w:szCs w:val="20"/>
              </w:rPr>
              <w:t xml:space="preserve">a </w:t>
            </w:r>
            <w:r w:rsidRPr="000A39D8">
              <w:rPr>
                <w:rFonts w:cs="Arial"/>
                <w:b/>
                <w:szCs w:val="20"/>
              </w:rPr>
              <w:t>konsultacyjn</w:t>
            </w:r>
            <w:r w:rsidR="00CD5A43" w:rsidRPr="000A39D8">
              <w:rPr>
                <w:rFonts w:cs="Arial"/>
                <w:b/>
              </w:rPr>
              <w:t>ego</w:t>
            </w:r>
            <w:r w:rsidR="002C2FA0" w:rsidRPr="000A39D8">
              <w:rPr>
                <w:rFonts w:cs="Arial"/>
                <w:b/>
              </w:rPr>
              <w:t>.</w:t>
            </w:r>
            <w:r w:rsidR="002C2FA0">
              <w:rPr>
                <w:rFonts w:cs="Arial"/>
                <w:bCs/>
              </w:rPr>
              <w:t xml:space="preserve"> </w:t>
            </w:r>
            <w:r w:rsidR="00CD5A43">
              <w:rPr>
                <w:rFonts w:cs="Arial"/>
                <w:bCs/>
              </w:rPr>
              <w:t xml:space="preserve">Sprawozdanie będzie sporządzane </w:t>
            </w:r>
            <w:r w:rsidRPr="00A70C6E">
              <w:rPr>
                <w:rFonts w:cs="Arial"/>
                <w:bCs/>
                <w:szCs w:val="20"/>
              </w:rPr>
              <w:t>w</w:t>
            </w:r>
            <w:r w:rsidR="002F2E97" w:rsidRPr="00A70C6E">
              <w:rPr>
                <w:rFonts w:cs="Arial"/>
                <w:bCs/>
                <w:szCs w:val="20"/>
              </w:rPr>
              <w:t>edłu</w:t>
            </w:r>
            <w:r w:rsidRPr="00A70C6E">
              <w:rPr>
                <w:rFonts w:cs="Arial"/>
                <w:bCs/>
                <w:szCs w:val="20"/>
              </w:rPr>
              <w:t xml:space="preserve">g wzoru opracowanego przez </w:t>
            </w:r>
            <w:r w:rsidR="009A7297">
              <w:rPr>
                <w:rFonts w:cs="Arial"/>
                <w:bCs/>
                <w:szCs w:val="20"/>
              </w:rPr>
              <w:t>IZ</w:t>
            </w:r>
            <w:r w:rsidR="00CD5A43">
              <w:rPr>
                <w:rFonts w:cs="Arial"/>
                <w:bCs/>
              </w:rPr>
              <w:t xml:space="preserve"> i będzie zawierało </w:t>
            </w:r>
            <w:r w:rsidR="007844BB">
              <w:rPr>
                <w:rFonts w:cs="Arial"/>
                <w:bCs/>
              </w:rPr>
              <w:t xml:space="preserve">m.in. </w:t>
            </w:r>
            <w:r w:rsidR="00CD5A43">
              <w:rPr>
                <w:rFonts w:cs="Arial"/>
                <w:bCs/>
              </w:rPr>
              <w:t xml:space="preserve">informację </w:t>
            </w:r>
            <w:r w:rsidR="00720841">
              <w:rPr>
                <w:rFonts w:cs="Arial"/>
                <w:bCs/>
              </w:rPr>
              <w:t xml:space="preserve">o </w:t>
            </w:r>
            <w:r w:rsidR="007844BB">
              <w:t>temacie</w:t>
            </w:r>
            <w:r w:rsidR="00CD5A43">
              <w:t xml:space="preserve"> </w:t>
            </w:r>
            <w:r w:rsidR="007844BB">
              <w:t>spotkania</w:t>
            </w:r>
            <w:r w:rsidR="009A7297">
              <w:t>.</w:t>
            </w:r>
            <w:r w:rsidR="002C2FA0">
              <w:rPr>
                <w:rFonts w:cs="Arial"/>
                <w:bCs/>
              </w:rPr>
              <w:t xml:space="preserve"> </w:t>
            </w:r>
            <w:r w:rsidR="00DD1C95">
              <w:rPr>
                <w:rFonts w:cs="Arial"/>
                <w:bCs/>
              </w:rPr>
              <w:t>Maksymalna l</w:t>
            </w:r>
            <w:r w:rsidR="002C2FA0">
              <w:rPr>
                <w:rFonts w:cs="Arial"/>
                <w:bCs/>
              </w:rPr>
              <w:t xml:space="preserve">iczba spotkań </w:t>
            </w:r>
            <w:r w:rsidR="00DC3860">
              <w:rPr>
                <w:rFonts w:cs="Arial"/>
                <w:bCs/>
              </w:rPr>
              <w:t xml:space="preserve">nie może być większa niż liczba posiedzeń komitetu </w:t>
            </w:r>
            <w:r w:rsidR="00DD1C95">
              <w:rPr>
                <w:rFonts w:cs="Arial"/>
                <w:bCs/>
              </w:rPr>
              <w:t>w danym roku kalendarzowym</w:t>
            </w:r>
            <w:r w:rsidR="00DC3860">
              <w:rPr>
                <w:rFonts w:cs="Arial"/>
                <w:bCs/>
              </w:rPr>
              <w:t xml:space="preserve">. </w:t>
            </w:r>
            <w:r w:rsidR="002C2FA0">
              <w:rPr>
                <w:rFonts w:cs="Arial"/>
                <w:bCs/>
              </w:rPr>
              <w:t xml:space="preserve">Drugim dokumentem niezbędnym do weryfikacji kwalifikowalności stawki jednostkowej </w:t>
            </w:r>
            <w:r w:rsidR="00DD1C95">
              <w:rPr>
                <w:rFonts w:cs="Arial"/>
                <w:bCs/>
              </w:rPr>
              <w:t xml:space="preserve">będzie </w:t>
            </w:r>
            <w:r w:rsidR="001A220B" w:rsidRPr="00F14F77">
              <w:rPr>
                <w:rFonts w:cs="Arial"/>
                <w:b/>
              </w:rPr>
              <w:t>imienna</w:t>
            </w:r>
            <w:r w:rsidR="001A220B">
              <w:rPr>
                <w:rFonts w:cs="Arial"/>
                <w:bCs/>
              </w:rPr>
              <w:t xml:space="preserve"> </w:t>
            </w:r>
            <w:r w:rsidR="002C2FA0" w:rsidRPr="000A39D8">
              <w:rPr>
                <w:rFonts w:cs="Arial"/>
                <w:b/>
              </w:rPr>
              <w:t xml:space="preserve">lista obecności </w:t>
            </w:r>
            <w:r w:rsidR="001A220B">
              <w:rPr>
                <w:rFonts w:cs="Arial"/>
                <w:b/>
              </w:rPr>
              <w:t>na spotkaniu</w:t>
            </w:r>
            <w:r w:rsidR="00B625D7" w:rsidRPr="000A39D8">
              <w:rPr>
                <w:rFonts w:cs="Arial"/>
                <w:b/>
              </w:rPr>
              <w:t xml:space="preserve"> potwierdzająca </w:t>
            </w:r>
            <w:r w:rsidR="00DD1C95" w:rsidRPr="000A39D8">
              <w:rPr>
                <w:rFonts w:cs="Arial"/>
                <w:b/>
              </w:rPr>
              <w:t xml:space="preserve"> </w:t>
            </w:r>
            <w:r w:rsidR="00B625D7" w:rsidRPr="000A39D8">
              <w:rPr>
                <w:rFonts w:cs="Arial"/>
                <w:b/>
              </w:rPr>
              <w:t>minimalny wymagany udział osób uczestniczących w spotkaniu stacjonarn</w:t>
            </w:r>
            <w:r w:rsidR="001A220B">
              <w:rPr>
                <w:rFonts w:cs="Arial"/>
                <w:b/>
              </w:rPr>
              <w:t>ym, a w przypadku spotkania h</w:t>
            </w:r>
            <w:r w:rsidR="007844BB">
              <w:rPr>
                <w:rFonts w:cs="Arial"/>
                <w:b/>
              </w:rPr>
              <w:t>y</w:t>
            </w:r>
            <w:r w:rsidR="001A220B">
              <w:rPr>
                <w:rFonts w:cs="Arial"/>
                <w:b/>
              </w:rPr>
              <w:t>brydowego – uzupełniona o wykaz osób uczestniczących w spotkaniu zdalnie.</w:t>
            </w:r>
          </w:p>
          <w:p w14:paraId="3CE9217F" w14:textId="50596B69" w:rsidR="009C60DC" w:rsidRPr="00A70C6E" w:rsidRDefault="00445CC3" w:rsidP="0064081E">
            <w:pPr>
              <w:spacing w:before="60" w:afterLines="60" w:after="144" w:line="276" w:lineRule="auto"/>
              <w:ind w:right="232"/>
              <w:jc w:val="both"/>
              <w:rPr>
                <w:rFonts w:cs="Arial"/>
                <w:bCs/>
                <w:szCs w:val="20"/>
                <w:u w:val="single"/>
              </w:rPr>
            </w:pPr>
            <w:r>
              <w:rPr>
                <w:rFonts w:cs="Arial"/>
                <w:b/>
                <w:bCs/>
                <w:szCs w:val="20"/>
              </w:rPr>
              <w:t>II</w:t>
            </w:r>
            <w:r w:rsidR="000E330F">
              <w:rPr>
                <w:rFonts w:cs="Arial"/>
                <w:b/>
                <w:bCs/>
                <w:szCs w:val="20"/>
              </w:rPr>
              <w:t>I</w:t>
            </w:r>
            <w:r>
              <w:rPr>
                <w:rFonts w:cs="Arial"/>
                <w:b/>
                <w:bCs/>
                <w:szCs w:val="20"/>
              </w:rPr>
              <w:t xml:space="preserve">. </w:t>
            </w:r>
            <w:r w:rsidR="009C60DC" w:rsidRPr="00A70C6E">
              <w:rPr>
                <w:rFonts w:cs="Arial"/>
                <w:b/>
                <w:bCs/>
                <w:szCs w:val="20"/>
              </w:rPr>
              <w:t xml:space="preserve">Stawka jednostkowa na zewnętrzne wsparcie doradcze dla partnera </w:t>
            </w:r>
            <w:r w:rsidR="009C60DC" w:rsidRPr="002B10B7">
              <w:rPr>
                <w:rFonts w:cs="Arial"/>
                <w:b/>
                <w:bCs/>
                <w:szCs w:val="20"/>
              </w:rPr>
              <w:t>KM</w:t>
            </w:r>
            <w:r w:rsidR="009C60DC" w:rsidRPr="00B14700">
              <w:rPr>
                <w:rFonts w:cs="Arial"/>
                <w:bCs/>
                <w:szCs w:val="20"/>
              </w:rPr>
              <w:t xml:space="preserve"> </w:t>
            </w:r>
            <w:r w:rsidR="00E55EE3">
              <w:rPr>
                <w:rFonts w:cs="Arial"/>
                <w:b/>
                <w:szCs w:val="20"/>
              </w:rPr>
              <w:t>FEPW</w:t>
            </w:r>
          </w:p>
          <w:p w14:paraId="56B6CC64" w14:textId="66BF4979" w:rsidR="000E254D" w:rsidRPr="00A70C6E" w:rsidRDefault="009C60DC" w:rsidP="0064081E">
            <w:pPr>
              <w:spacing w:before="60" w:afterLines="60" w:after="144" w:line="276" w:lineRule="auto"/>
              <w:ind w:left="269" w:right="232"/>
              <w:jc w:val="both"/>
              <w:rPr>
                <w:rFonts w:cs="Arial"/>
                <w:bCs/>
                <w:szCs w:val="20"/>
              </w:rPr>
            </w:pPr>
            <w:r w:rsidRPr="00A70C6E">
              <w:rPr>
                <w:rFonts w:cs="Arial"/>
                <w:bCs/>
                <w:szCs w:val="20"/>
                <w:u w:val="single"/>
              </w:rPr>
              <w:t xml:space="preserve">Nazwa </w:t>
            </w:r>
            <w:r w:rsidR="000E254D" w:rsidRPr="00A70C6E">
              <w:rPr>
                <w:rFonts w:cs="Arial"/>
                <w:bCs/>
                <w:szCs w:val="20"/>
                <w:u w:val="single"/>
              </w:rPr>
              <w:t>wskaźnika</w:t>
            </w:r>
            <w:r w:rsidR="000E254D" w:rsidRPr="00A70C6E">
              <w:rPr>
                <w:rFonts w:cs="Arial"/>
                <w:bCs/>
                <w:szCs w:val="20"/>
              </w:rPr>
              <w:t>:</w:t>
            </w:r>
            <w:r w:rsidR="008F7763" w:rsidRPr="00A70C6E">
              <w:rPr>
                <w:rFonts w:cs="Arial"/>
                <w:bCs/>
                <w:szCs w:val="20"/>
              </w:rPr>
              <w:t xml:space="preserve"> </w:t>
            </w:r>
            <w:r w:rsidRPr="00A70C6E">
              <w:rPr>
                <w:rFonts w:cs="Arial"/>
                <w:szCs w:val="20"/>
              </w:rPr>
              <w:t>Liczba godzin zewnętrznego wsparcia doradczego dla partnera KM</w:t>
            </w:r>
            <w:r w:rsidR="00327ACC" w:rsidRPr="00A70C6E">
              <w:rPr>
                <w:rFonts w:cs="Arial"/>
                <w:szCs w:val="20"/>
              </w:rPr>
              <w:t xml:space="preserve"> </w:t>
            </w:r>
            <w:r w:rsidR="00BC4EC0" w:rsidRPr="00A70C6E">
              <w:rPr>
                <w:rFonts w:cs="Arial"/>
                <w:szCs w:val="20"/>
              </w:rPr>
              <w:t>F</w:t>
            </w:r>
            <w:r w:rsidR="00BC4EC0">
              <w:rPr>
                <w:rFonts w:cs="Arial"/>
                <w:szCs w:val="20"/>
              </w:rPr>
              <w:t>E</w:t>
            </w:r>
            <w:r w:rsidR="00E55EE3">
              <w:rPr>
                <w:rFonts w:cs="Arial"/>
                <w:szCs w:val="20"/>
              </w:rPr>
              <w:t>PW</w:t>
            </w:r>
            <w:r w:rsidR="0037363F">
              <w:rPr>
                <w:rFonts w:cs="Arial"/>
                <w:szCs w:val="20"/>
              </w:rPr>
              <w:t>.</w:t>
            </w:r>
          </w:p>
          <w:p w14:paraId="3DCC0E91" w14:textId="71D8CD33" w:rsidR="000E254D" w:rsidRPr="0037363F" w:rsidRDefault="000E254D" w:rsidP="0064081E">
            <w:pPr>
              <w:spacing w:before="60" w:afterLines="60" w:after="144" w:line="276" w:lineRule="auto"/>
              <w:ind w:left="269" w:right="232"/>
              <w:jc w:val="both"/>
              <w:rPr>
                <w:rFonts w:cs="Arial"/>
              </w:rPr>
            </w:pPr>
            <w:r w:rsidRPr="00A70C6E">
              <w:rPr>
                <w:rFonts w:cs="Arial"/>
                <w:bCs/>
                <w:szCs w:val="20"/>
                <w:u w:val="single"/>
              </w:rPr>
              <w:lastRenderedPageBreak/>
              <w:t>Sposób pomiaru wskaźnika</w:t>
            </w:r>
            <w:r w:rsidRPr="00A70C6E">
              <w:rPr>
                <w:rFonts w:cs="Arial"/>
                <w:bCs/>
                <w:szCs w:val="20"/>
              </w:rPr>
              <w:t>:</w:t>
            </w:r>
            <w:r w:rsidR="003A7CB1" w:rsidRPr="00A70C6E">
              <w:rPr>
                <w:rFonts w:cs="Arial"/>
                <w:bCs/>
                <w:szCs w:val="20"/>
              </w:rPr>
              <w:t xml:space="preserve"> </w:t>
            </w:r>
            <w:r w:rsidR="0037363F" w:rsidRPr="3004B5B3">
              <w:rPr>
                <w:rFonts w:cs="Arial"/>
              </w:rPr>
              <w:t xml:space="preserve">Stawka jednostkowa jest kwalifikowalna, gdy partner wykaże przeprowadzenie każdej godziny zegarowej zewnętrznego wsparcia doradczego, przy zachowaniu limitu określonego przez IZ na poziomie </w:t>
            </w:r>
            <w:r w:rsidR="009759BB">
              <w:rPr>
                <w:rFonts w:cs="Arial"/>
              </w:rPr>
              <w:t>5</w:t>
            </w:r>
            <w:r w:rsidR="0037363F" w:rsidRPr="3004B5B3">
              <w:rPr>
                <w:rFonts w:cs="Arial"/>
              </w:rPr>
              <w:t>0 godzin zegarowych w całym okresie udziału w KM FE</w:t>
            </w:r>
            <w:r w:rsidR="0037363F">
              <w:rPr>
                <w:rFonts w:cs="Arial"/>
              </w:rPr>
              <w:t>PW,</w:t>
            </w:r>
            <w:r w:rsidR="0037363F" w:rsidRPr="3004B5B3">
              <w:rPr>
                <w:rFonts w:cs="Arial"/>
              </w:rPr>
              <w:t xml:space="preserve"> tj. do </w:t>
            </w:r>
            <w:r w:rsidR="0086588D">
              <w:rPr>
                <w:rFonts w:cs="Arial"/>
              </w:rPr>
              <w:t xml:space="preserve">31.12. </w:t>
            </w:r>
            <w:r w:rsidR="0037363F" w:rsidRPr="3004B5B3">
              <w:rPr>
                <w:rFonts w:cs="Arial"/>
              </w:rPr>
              <w:t>2029</w:t>
            </w:r>
            <w:r w:rsidR="00DC6759">
              <w:rPr>
                <w:rFonts w:cs="Arial"/>
              </w:rPr>
              <w:t xml:space="preserve"> r.</w:t>
            </w:r>
            <w:r w:rsidR="0037363F" w:rsidRPr="3004B5B3">
              <w:rPr>
                <w:rFonts w:cs="Arial"/>
              </w:rPr>
              <w:t>.</w:t>
            </w:r>
            <w:r w:rsidR="0037363F" w:rsidRPr="3004B5B3">
              <w:rPr>
                <w:rStyle w:val="Odwoanieprzypisudolnego"/>
                <w:rFonts w:cs="Arial"/>
              </w:rPr>
              <w:footnoteReference w:id="6"/>
            </w:r>
          </w:p>
          <w:p w14:paraId="58579C47" w14:textId="77777777" w:rsidR="000E254D" w:rsidRPr="00A70C6E" w:rsidRDefault="000E254D" w:rsidP="0064081E">
            <w:pPr>
              <w:spacing w:before="60" w:afterLines="60" w:after="144" w:line="276" w:lineRule="auto"/>
              <w:ind w:left="269" w:right="232"/>
              <w:jc w:val="both"/>
              <w:rPr>
                <w:rFonts w:cs="Arial"/>
                <w:bCs/>
                <w:szCs w:val="20"/>
              </w:rPr>
            </w:pPr>
            <w:r w:rsidRPr="00877399">
              <w:rPr>
                <w:rFonts w:cs="Arial"/>
                <w:bCs/>
                <w:szCs w:val="20"/>
                <w:u w:val="single"/>
              </w:rPr>
              <w:t>Moment pomiaru wskaźnika</w:t>
            </w:r>
            <w:r w:rsidRPr="00730D2C">
              <w:rPr>
                <w:rFonts w:cs="Arial"/>
                <w:bCs/>
                <w:szCs w:val="20"/>
              </w:rPr>
              <w:t xml:space="preserve">: </w:t>
            </w:r>
            <w:r w:rsidR="003A7CB1" w:rsidRPr="00730D2C">
              <w:rPr>
                <w:rFonts w:cs="Arial"/>
                <w:bCs/>
                <w:szCs w:val="20"/>
              </w:rPr>
              <w:t>Po zrealizowaniu</w:t>
            </w:r>
            <w:r w:rsidR="003A7CB1" w:rsidRPr="00A70C6E">
              <w:rPr>
                <w:rFonts w:cs="Arial"/>
                <w:bCs/>
                <w:szCs w:val="20"/>
              </w:rPr>
              <w:t xml:space="preserve"> </w:t>
            </w:r>
            <w:r w:rsidR="00053E16" w:rsidRPr="00A70C6E">
              <w:rPr>
                <w:rFonts w:cs="Arial"/>
                <w:bCs/>
                <w:szCs w:val="20"/>
              </w:rPr>
              <w:t xml:space="preserve">i udokumentowaniu </w:t>
            </w:r>
            <w:r w:rsidR="003A7CB1" w:rsidRPr="00A70C6E">
              <w:rPr>
                <w:rFonts w:cs="Arial"/>
                <w:bCs/>
                <w:szCs w:val="20"/>
              </w:rPr>
              <w:t>każde</w:t>
            </w:r>
            <w:r w:rsidR="00371B5B" w:rsidRPr="00A70C6E">
              <w:rPr>
                <w:rFonts w:cs="Arial"/>
                <w:bCs/>
                <w:szCs w:val="20"/>
              </w:rPr>
              <w:t xml:space="preserve">j godziny zegarowej </w:t>
            </w:r>
            <w:r w:rsidR="003A7CB1" w:rsidRPr="00A70C6E">
              <w:rPr>
                <w:rFonts w:cs="Arial"/>
                <w:bCs/>
                <w:szCs w:val="20"/>
              </w:rPr>
              <w:t>zewnętrznego wsparcia doradczego.</w:t>
            </w:r>
          </w:p>
          <w:p w14:paraId="59AB19CC" w14:textId="60C12E16" w:rsidR="00231489" w:rsidRDefault="000E254D" w:rsidP="0064081E">
            <w:pPr>
              <w:spacing w:before="60" w:afterLines="60" w:after="144" w:line="276" w:lineRule="auto"/>
              <w:ind w:left="269" w:right="232"/>
              <w:jc w:val="both"/>
              <w:rPr>
                <w:rFonts w:cs="Arial"/>
                <w:b/>
                <w:szCs w:val="20"/>
              </w:rPr>
            </w:pPr>
            <w:r w:rsidRPr="00A70C6E">
              <w:rPr>
                <w:rFonts w:cs="Arial"/>
                <w:bCs/>
                <w:szCs w:val="20"/>
                <w:u w:val="single"/>
              </w:rPr>
              <w:t>Warunki kwalifikowalności stawki jednostkowej</w:t>
            </w:r>
            <w:r w:rsidRPr="00A70C6E">
              <w:rPr>
                <w:rFonts w:cs="Arial"/>
                <w:bCs/>
                <w:szCs w:val="20"/>
              </w:rPr>
              <w:t>:</w:t>
            </w:r>
            <w:r w:rsidR="00A034B4" w:rsidRPr="00A70C6E">
              <w:rPr>
                <w:rFonts w:cs="Arial"/>
                <w:bCs/>
                <w:szCs w:val="20"/>
              </w:rPr>
              <w:t xml:space="preserve"> </w:t>
            </w:r>
            <w:r w:rsidR="00A034B4" w:rsidRPr="008A6905">
              <w:rPr>
                <w:rFonts w:cs="Arial"/>
                <w:b/>
                <w:szCs w:val="20"/>
              </w:rPr>
              <w:t xml:space="preserve">Warunkiem </w:t>
            </w:r>
            <w:r w:rsidR="009C60DC" w:rsidRPr="008A6905">
              <w:rPr>
                <w:rFonts w:cs="Arial"/>
                <w:b/>
                <w:szCs w:val="20"/>
              </w:rPr>
              <w:t xml:space="preserve">kwalifikowania stawki jednostkowej </w:t>
            </w:r>
            <w:r w:rsidR="00A034B4" w:rsidRPr="008A6905">
              <w:rPr>
                <w:rFonts w:cs="Arial"/>
                <w:b/>
                <w:szCs w:val="20"/>
              </w:rPr>
              <w:t xml:space="preserve">jest </w:t>
            </w:r>
            <w:r w:rsidR="009C60DC" w:rsidRPr="008A6905">
              <w:rPr>
                <w:rFonts w:cs="Arial"/>
                <w:b/>
                <w:szCs w:val="20"/>
              </w:rPr>
              <w:t xml:space="preserve">zlecenie usługi doradczej, przeprowadzenie jej przez </w:t>
            </w:r>
            <w:r w:rsidR="00231489">
              <w:rPr>
                <w:rFonts w:cs="Arial"/>
                <w:b/>
                <w:szCs w:val="20"/>
              </w:rPr>
              <w:t xml:space="preserve">podmiot </w:t>
            </w:r>
            <w:r w:rsidR="009C60DC" w:rsidRPr="008A6905">
              <w:rPr>
                <w:rFonts w:cs="Arial"/>
                <w:b/>
                <w:szCs w:val="20"/>
              </w:rPr>
              <w:t>zewnętrzny w stosunku do partnera KM</w:t>
            </w:r>
            <w:r w:rsidR="0053680F">
              <w:rPr>
                <w:rFonts w:cs="Arial"/>
                <w:b/>
                <w:szCs w:val="20"/>
              </w:rPr>
              <w:t xml:space="preserve"> oraz</w:t>
            </w:r>
            <w:r w:rsidR="009C60DC" w:rsidRPr="008A6905">
              <w:rPr>
                <w:rFonts w:cs="Arial"/>
                <w:b/>
                <w:szCs w:val="20"/>
              </w:rPr>
              <w:t xml:space="preserve"> </w:t>
            </w:r>
            <w:r w:rsidR="00A034B4" w:rsidRPr="008A6905">
              <w:rPr>
                <w:rFonts w:cs="Arial"/>
                <w:b/>
                <w:szCs w:val="20"/>
              </w:rPr>
              <w:t xml:space="preserve">przedłożenie do </w:t>
            </w:r>
            <w:r w:rsidR="009C60DC" w:rsidRPr="008A6905">
              <w:rPr>
                <w:rFonts w:cs="Arial"/>
                <w:b/>
                <w:szCs w:val="20"/>
              </w:rPr>
              <w:t xml:space="preserve">IZ dokumentów </w:t>
            </w:r>
            <w:r w:rsidR="0053680F">
              <w:rPr>
                <w:rFonts w:cs="Arial"/>
                <w:b/>
                <w:szCs w:val="20"/>
              </w:rPr>
              <w:t xml:space="preserve">potwierdzających realizację działania </w:t>
            </w:r>
            <w:r w:rsidR="00231489" w:rsidRPr="008A6905">
              <w:rPr>
                <w:rFonts w:cs="Arial"/>
                <w:b/>
                <w:szCs w:val="20"/>
              </w:rPr>
              <w:t>wymaganych do rozliczenia stawki jednostkowej</w:t>
            </w:r>
            <w:r w:rsidR="00231489" w:rsidDel="00231489">
              <w:rPr>
                <w:rFonts w:cs="Arial"/>
                <w:b/>
                <w:szCs w:val="20"/>
              </w:rPr>
              <w:t xml:space="preserve"> </w:t>
            </w:r>
            <w:r w:rsidR="00381A62">
              <w:rPr>
                <w:rFonts w:cs="Arial"/>
                <w:b/>
                <w:szCs w:val="20"/>
              </w:rPr>
              <w:t>tj.</w:t>
            </w:r>
            <w:r w:rsidR="00231489">
              <w:rPr>
                <w:rFonts w:cs="Arial"/>
                <w:b/>
                <w:szCs w:val="20"/>
              </w:rPr>
              <w:t>:</w:t>
            </w:r>
          </w:p>
          <w:p w14:paraId="46938540" w14:textId="77777777" w:rsidR="00231489" w:rsidRDefault="00231489" w:rsidP="0064081E">
            <w:pPr>
              <w:spacing w:before="60" w:afterLines="60" w:after="144" w:line="276" w:lineRule="auto"/>
              <w:ind w:left="269" w:right="232"/>
              <w:jc w:val="both"/>
              <w:rPr>
                <w:rFonts w:cs="Arial"/>
                <w:b/>
                <w:szCs w:val="20"/>
              </w:rPr>
            </w:pPr>
            <w:r>
              <w:rPr>
                <w:rFonts w:cs="Arial"/>
                <w:bCs/>
                <w:szCs w:val="20"/>
                <w:u w:val="single"/>
              </w:rPr>
              <w:t>-</w:t>
            </w:r>
            <w:r w:rsidR="00381A62">
              <w:rPr>
                <w:rFonts w:cs="Arial"/>
                <w:b/>
                <w:szCs w:val="20"/>
              </w:rPr>
              <w:t xml:space="preserve"> </w:t>
            </w:r>
            <w:r w:rsidR="0053680F">
              <w:rPr>
                <w:rFonts w:cs="Arial"/>
                <w:b/>
                <w:szCs w:val="20"/>
              </w:rPr>
              <w:t>zlecenie wsparcia doradczego podmiotowi zewnętrznemu (mail</w:t>
            </w:r>
            <w:r w:rsidR="00891E77">
              <w:rPr>
                <w:rFonts w:cs="Arial"/>
                <w:b/>
                <w:szCs w:val="20"/>
              </w:rPr>
              <w:t>/</w:t>
            </w:r>
            <w:r w:rsidR="0053680F">
              <w:rPr>
                <w:rFonts w:cs="Arial"/>
                <w:b/>
                <w:szCs w:val="20"/>
              </w:rPr>
              <w:t>pismo</w:t>
            </w:r>
            <w:r w:rsidR="00891E77">
              <w:rPr>
                <w:rFonts w:cs="Arial"/>
                <w:b/>
                <w:szCs w:val="20"/>
              </w:rPr>
              <w:t>/umowa</w:t>
            </w:r>
            <w:r w:rsidR="0053680F">
              <w:rPr>
                <w:rFonts w:cs="Arial"/>
                <w:b/>
                <w:szCs w:val="20"/>
              </w:rPr>
              <w:t xml:space="preserve">), </w:t>
            </w:r>
          </w:p>
          <w:p w14:paraId="4632E5C1" w14:textId="3F0B81F7" w:rsidR="00231489" w:rsidRDefault="00231489" w:rsidP="0064081E">
            <w:pPr>
              <w:spacing w:before="60" w:afterLines="60" w:after="144" w:line="276" w:lineRule="auto"/>
              <w:ind w:left="269" w:right="232"/>
              <w:jc w:val="both"/>
              <w:rPr>
                <w:rFonts w:cs="Arial"/>
                <w:b/>
                <w:szCs w:val="20"/>
              </w:rPr>
            </w:pPr>
            <w:r>
              <w:rPr>
                <w:rFonts w:cs="Arial"/>
                <w:bCs/>
                <w:szCs w:val="20"/>
                <w:u w:val="single"/>
              </w:rPr>
              <w:t>-</w:t>
            </w:r>
            <w:r>
              <w:rPr>
                <w:rFonts w:cs="Arial"/>
                <w:b/>
                <w:szCs w:val="20"/>
              </w:rPr>
              <w:t xml:space="preserve"> </w:t>
            </w:r>
            <w:r w:rsidR="0053680F">
              <w:rPr>
                <w:rFonts w:cs="Arial"/>
                <w:b/>
                <w:szCs w:val="20"/>
              </w:rPr>
              <w:t>pisemn</w:t>
            </w:r>
            <w:r w:rsidR="00C045A2">
              <w:rPr>
                <w:rFonts w:cs="Arial"/>
                <w:b/>
                <w:szCs w:val="20"/>
              </w:rPr>
              <w:t>e</w:t>
            </w:r>
            <w:r w:rsidR="0053680F">
              <w:rPr>
                <w:rFonts w:cs="Arial"/>
                <w:b/>
                <w:szCs w:val="20"/>
              </w:rPr>
              <w:t xml:space="preserve"> </w:t>
            </w:r>
            <w:r w:rsidR="00C045A2">
              <w:rPr>
                <w:rFonts w:cs="Arial"/>
                <w:b/>
                <w:szCs w:val="20"/>
              </w:rPr>
              <w:t>określenie</w:t>
            </w:r>
            <w:r w:rsidR="0053680F">
              <w:rPr>
                <w:rFonts w:cs="Arial"/>
                <w:b/>
                <w:szCs w:val="20"/>
              </w:rPr>
              <w:t xml:space="preserve"> liczby godzin wsparcia doradczego wykonanego przez podmiot zewnętrzny, </w:t>
            </w:r>
          </w:p>
          <w:p w14:paraId="653815C5" w14:textId="602A1C18" w:rsidR="00E351F8" w:rsidRDefault="00231489" w:rsidP="0064081E">
            <w:pPr>
              <w:spacing w:before="60" w:afterLines="60" w:after="144" w:line="276" w:lineRule="auto"/>
              <w:ind w:left="269" w:right="232"/>
              <w:jc w:val="both"/>
              <w:rPr>
                <w:rFonts w:cs="Arial"/>
                <w:szCs w:val="20"/>
              </w:rPr>
            </w:pPr>
            <w:r>
              <w:rPr>
                <w:rFonts w:cs="Arial"/>
                <w:bCs/>
                <w:szCs w:val="20"/>
                <w:u w:val="single"/>
              </w:rPr>
              <w:t>-</w:t>
            </w:r>
            <w:r>
              <w:rPr>
                <w:rFonts w:cs="Arial"/>
                <w:b/>
                <w:szCs w:val="20"/>
              </w:rPr>
              <w:t xml:space="preserve"> </w:t>
            </w:r>
            <w:r w:rsidR="00381A62" w:rsidRPr="00381A62">
              <w:rPr>
                <w:rFonts w:cs="Arial"/>
                <w:b/>
                <w:szCs w:val="20"/>
              </w:rPr>
              <w:t>pisemna analiza, opinia lub raport wynikając</w:t>
            </w:r>
            <w:r w:rsidR="00891E77">
              <w:rPr>
                <w:rFonts w:cs="Arial"/>
                <w:b/>
                <w:szCs w:val="20"/>
              </w:rPr>
              <w:t>e</w:t>
            </w:r>
            <w:r w:rsidR="00381A62" w:rsidRPr="00381A62">
              <w:rPr>
                <w:rFonts w:cs="Arial"/>
                <w:b/>
                <w:szCs w:val="20"/>
              </w:rPr>
              <w:t xml:space="preserve"> ze wsparcia doradczego przygotowan</w:t>
            </w:r>
            <w:r w:rsidR="00891E77">
              <w:rPr>
                <w:rFonts w:cs="Arial"/>
                <w:b/>
                <w:szCs w:val="20"/>
              </w:rPr>
              <w:t>e</w:t>
            </w:r>
            <w:r w:rsidR="00381A62" w:rsidRPr="00381A62">
              <w:rPr>
                <w:rFonts w:cs="Arial"/>
                <w:b/>
                <w:szCs w:val="20"/>
              </w:rPr>
              <w:t xml:space="preserve"> przez eksperta zewnętrznego</w:t>
            </w:r>
            <w:r w:rsidR="009A5227" w:rsidRPr="005B0069">
              <w:rPr>
                <w:rFonts w:cs="Arial"/>
                <w:szCs w:val="20"/>
              </w:rPr>
              <w:t>.</w:t>
            </w:r>
            <w:r w:rsidR="009C60DC" w:rsidRPr="005B0069">
              <w:rPr>
                <w:rFonts w:cs="Arial"/>
                <w:szCs w:val="20"/>
              </w:rPr>
              <w:t xml:space="preserve"> </w:t>
            </w:r>
          </w:p>
          <w:p w14:paraId="571D8ED8" w14:textId="5D1FA17B" w:rsidR="00327ACC" w:rsidRPr="00A70C6E" w:rsidRDefault="0037363F" w:rsidP="0064081E">
            <w:pPr>
              <w:spacing w:before="60" w:afterLines="60" w:after="144" w:line="276" w:lineRule="auto"/>
              <w:ind w:left="269" w:right="232"/>
              <w:jc w:val="both"/>
              <w:rPr>
                <w:rFonts w:cs="Arial"/>
                <w:szCs w:val="20"/>
              </w:rPr>
            </w:pPr>
            <w:r w:rsidRPr="00A70C6E">
              <w:rPr>
                <w:rFonts w:cs="Arial"/>
                <w:szCs w:val="20"/>
              </w:rPr>
              <w:t xml:space="preserve">Maksymalna liczba godzin wsparcia doradczego dla partnera KM </w:t>
            </w:r>
            <w:r>
              <w:rPr>
                <w:rFonts w:cs="Arial"/>
                <w:szCs w:val="20"/>
              </w:rPr>
              <w:t>FEPW</w:t>
            </w:r>
            <w:r w:rsidRPr="00A70C6E">
              <w:rPr>
                <w:rFonts w:cs="Arial"/>
                <w:szCs w:val="20"/>
              </w:rPr>
              <w:t xml:space="preserve"> w całym okresie wdrażania FE</w:t>
            </w:r>
            <w:r>
              <w:rPr>
                <w:rFonts w:cs="Arial"/>
                <w:szCs w:val="20"/>
              </w:rPr>
              <w:t>PW</w:t>
            </w:r>
            <w:r w:rsidRPr="00A70C6E">
              <w:rPr>
                <w:rFonts w:cs="Arial"/>
                <w:szCs w:val="20"/>
              </w:rPr>
              <w:t xml:space="preserve"> to </w:t>
            </w:r>
            <w:r w:rsidR="009759BB">
              <w:rPr>
                <w:rFonts w:cs="Arial"/>
                <w:szCs w:val="20"/>
              </w:rPr>
              <w:t>5</w:t>
            </w:r>
            <w:r w:rsidRPr="00A70C6E">
              <w:rPr>
                <w:rFonts w:cs="Arial"/>
                <w:szCs w:val="20"/>
              </w:rPr>
              <w:t>0 godzin zegarowych</w:t>
            </w:r>
            <w:r w:rsidR="00231489">
              <w:rPr>
                <w:rFonts w:cs="Arial"/>
                <w:szCs w:val="20"/>
              </w:rPr>
              <w:t xml:space="preserve"> (</w:t>
            </w:r>
            <w:r w:rsidR="00231489" w:rsidRPr="00231489">
              <w:rPr>
                <w:rFonts w:cs="Arial"/>
                <w:szCs w:val="20"/>
              </w:rPr>
              <w:t>do wykorzystania w dowolnym rozkładzie na lata</w:t>
            </w:r>
            <w:r w:rsidR="00231489">
              <w:rPr>
                <w:rFonts w:cs="Arial"/>
                <w:szCs w:val="20"/>
              </w:rPr>
              <w:t xml:space="preserve">). </w:t>
            </w:r>
            <w:r w:rsidRPr="00A70C6E">
              <w:rPr>
                <w:rFonts w:cs="Arial"/>
                <w:szCs w:val="20"/>
              </w:rPr>
              <w:t>Produkt w postaci analizy lub opinii lub raportu przygotowanego przez eksperta zewnętrznego, będzie, po przekazaniu do IZ upubliczniany poprzez rozesłanie go do wszystkich członków oraz obserwatorów KM FE</w:t>
            </w:r>
            <w:r>
              <w:rPr>
                <w:rFonts w:cs="Arial"/>
                <w:szCs w:val="20"/>
              </w:rPr>
              <w:t>PW</w:t>
            </w:r>
            <w:r w:rsidRPr="00A70C6E">
              <w:rPr>
                <w:rFonts w:cs="Arial"/>
                <w:szCs w:val="20"/>
              </w:rPr>
              <w:t xml:space="preserve"> za pomocą poczty elektronicznej.</w:t>
            </w:r>
          </w:p>
        </w:tc>
      </w:tr>
      <w:tr w:rsidR="00D72CCC" w:rsidRPr="00A70C6E" w14:paraId="2900DE96" w14:textId="77777777" w:rsidTr="3004B5B3">
        <w:trPr>
          <w:trHeight w:val="20"/>
        </w:trPr>
        <w:tc>
          <w:tcPr>
            <w:tcW w:w="859" w:type="pct"/>
            <w:shd w:val="clear" w:color="auto" w:fill="FFFFFF" w:themeFill="background1"/>
          </w:tcPr>
          <w:p w14:paraId="475EBE30" w14:textId="38BB657C" w:rsidR="00D72CCC" w:rsidRDefault="00FB46DC" w:rsidP="00D72CCC">
            <w:pPr>
              <w:pStyle w:val="Inne0"/>
              <w:spacing w:line="276" w:lineRule="auto"/>
              <w:ind w:left="129" w:right="279"/>
              <w:rPr>
                <w:rFonts w:ascii="Arial" w:hAnsi="Arial" w:cs="Arial"/>
                <w:b/>
                <w:smallCaps/>
                <w:sz w:val="20"/>
                <w:szCs w:val="20"/>
              </w:rPr>
            </w:pPr>
            <w:r>
              <w:rPr>
                <w:rFonts w:ascii="Arial" w:hAnsi="Arial" w:cs="Arial"/>
                <w:b/>
                <w:smallCaps/>
                <w:sz w:val="20"/>
                <w:szCs w:val="20"/>
              </w:rPr>
              <w:lastRenderedPageBreak/>
              <w:t>3</w:t>
            </w:r>
            <w:r w:rsidR="00D72CCC" w:rsidRPr="00A70C6E">
              <w:rPr>
                <w:rFonts w:ascii="Arial" w:hAnsi="Arial" w:cs="Arial"/>
                <w:b/>
                <w:smallCaps/>
                <w:sz w:val="20"/>
                <w:szCs w:val="20"/>
              </w:rPr>
              <w:t>. Jednostka miary wskaźnika uruchamiającego refundację kosztów</w:t>
            </w:r>
          </w:p>
        </w:tc>
        <w:tc>
          <w:tcPr>
            <w:tcW w:w="4141" w:type="pct"/>
            <w:shd w:val="clear" w:color="auto" w:fill="FFFFFF" w:themeFill="background1"/>
          </w:tcPr>
          <w:p w14:paraId="129E6C98" w14:textId="77777777" w:rsidR="00D72CCC" w:rsidRPr="00A70C6E" w:rsidRDefault="00D72CCC" w:rsidP="00D72CCC">
            <w:pPr>
              <w:spacing w:before="60" w:afterLines="60" w:after="144" w:line="276" w:lineRule="auto"/>
              <w:ind w:right="232"/>
              <w:rPr>
                <w:rFonts w:cs="Arial"/>
                <w:szCs w:val="20"/>
              </w:rPr>
            </w:pPr>
            <w:bookmarkStart w:id="2" w:name="_Hlk141798922"/>
            <w:r w:rsidRPr="00A70C6E">
              <w:rPr>
                <w:rFonts w:cs="Arial"/>
                <w:szCs w:val="20"/>
              </w:rPr>
              <w:t xml:space="preserve">I. Stawka jednostkowa na podnoszenie przez partnerów KM kompetencji związanych z ich uczestnictwem w KM </w:t>
            </w:r>
          </w:p>
          <w:p w14:paraId="62B8C980" w14:textId="77777777" w:rsidR="00D72CCC" w:rsidRPr="00A70C6E" w:rsidRDefault="00D72CCC" w:rsidP="00D72CCC">
            <w:pPr>
              <w:spacing w:before="60" w:afterLines="60" w:after="144" w:line="276" w:lineRule="auto"/>
              <w:ind w:left="708" w:right="232"/>
              <w:jc w:val="both"/>
              <w:rPr>
                <w:rFonts w:cs="Arial"/>
                <w:szCs w:val="20"/>
              </w:rPr>
            </w:pPr>
            <w:r w:rsidRPr="00A70C6E">
              <w:rPr>
                <w:rFonts w:cs="Arial"/>
                <w:szCs w:val="20"/>
                <w:u w:val="single"/>
              </w:rPr>
              <w:t>Nazwa wskaźnika</w:t>
            </w:r>
            <w:r w:rsidRPr="00A70C6E">
              <w:rPr>
                <w:rFonts w:cs="Arial"/>
                <w:szCs w:val="20"/>
              </w:rPr>
              <w:t>: Liczba partnerów KM, którzy podnieśli kompetencje związane z uczestnictwem w KM</w:t>
            </w:r>
            <w:r>
              <w:rPr>
                <w:rFonts w:cs="Arial"/>
                <w:szCs w:val="20"/>
              </w:rPr>
              <w:t xml:space="preserve"> w roku kalendarzowym </w:t>
            </w:r>
            <w:r w:rsidRPr="00A70C6E">
              <w:rPr>
                <w:rFonts w:cs="Arial"/>
                <w:szCs w:val="20"/>
              </w:rPr>
              <w:t xml:space="preserve"> – </w:t>
            </w:r>
            <w:r w:rsidRPr="00A70C6E">
              <w:rPr>
                <w:rFonts w:cs="Arial"/>
                <w:b/>
                <w:bCs/>
                <w:szCs w:val="20"/>
              </w:rPr>
              <w:t xml:space="preserve">sztuka </w:t>
            </w:r>
          </w:p>
          <w:p w14:paraId="66171BE0" w14:textId="77777777" w:rsidR="00D72CCC" w:rsidRPr="00A70C6E" w:rsidRDefault="00D72CCC" w:rsidP="00D72CCC">
            <w:pPr>
              <w:spacing w:before="60" w:afterLines="60" w:after="144" w:line="276" w:lineRule="auto"/>
              <w:ind w:right="232"/>
              <w:jc w:val="both"/>
              <w:rPr>
                <w:rFonts w:cs="Arial"/>
                <w:szCs w:val="20"/>
              </w:rPr>
            </w:pPr>
            <w:r w:rsidRPr="00A70C6E">
              <w:rPr>
                <w:rFonts w:cs="Arial"/>
                <w:szCs w:val="20"/>
              </w:rPr>
              <w:t>I</w:t>
            </w:r>
            <w:r>
              <w:rPr>
                <w:rFonts w:cs="Arial"/>
                <w:szCs w:val="20"/>
              </w:rPr>
              <w:t>I</w:t>
            </w:r>
            <w:r w:rsidRPr="00A70C6E">
              <w:rPr>
                <w:rFonts w:cs="Arial"/>
                <w:szCs w:val="20"/>
              </w:rPr>
              <w:t xml:space="preserve">. Stawka jednostkowa na przygotowanie do posiedzeń KM </w:t>
            </w:r>
          </w:p>
          <w:p w14:paraId="1F953B31" w14:textId="77777777" w:rsidR="00D72CCC" w:rsidRPr="00A70C6E" w:rsidRDefault="00D72CCC" w:rsidP="00D72CCC">
            <w:pPr>
              <w:spacing w:before="60" w:afterLines="60" w:after="144" w:line="276" w:lineRule="auto"/>
              <w:ind w:left="708" w:right="232"/>
              <w:jc w:val="both"/>
              <w:rPr>
                <w:rFonts w:cs="Arial"/>
                <w:szCs w:val="20"/>
              </w:rPr>
            </w:pPr>
            <w:r w:rsidRPr="0010640D">
              <w:rPr>
                <w:rFonts w:cs="Arial"/>
                <w:szCs w:val="20"/>
                <w:u w:val="single"/>
              </w:rPr>
              <w:t>Nazwa wskaźnika</w:t>
            </w:r>
            <w:r w:rsidRPr="00F02637">
              <w:rPr>
                <w:rFonts w:cs="Arial"/>
                <w:szCs w:val="20"/>
              </w:rPr>
              <w:t>: Liczba konsultacji ze środowiskiem przeprowadzon</w:t>
            </w:r>
            <w:r>
              <w:rPr>
                <w:rFonts w:cs="Arial"/>
                <w:szCs w:val="20"/>
              </w:rPr>
              <w:t>ych</w:t>
            </w:r>
            <w:r w:rsidRPr="00F02637">
              <w:rPr>
                <w:rFonts w:cs="Arial"/>
                <w:szCs w:val="20"/>
              </w:rPr>
              <w:t xml:space="preserve"> przez partnera KM </w:t>
            </w:r>
            <w:r w:rsidRPr="00A70C6E">
              <w:rPr>
                <w:rFonts w:cs="Arial"/>
                <w:szCs w:val="20"/>
              </w:rPr>
              <w:t xml:space="preserve">– </w:t>
            </w:r>
            <w:r w:rsidRPr="00A70C6E">
              <w:rPr>
                <w:rFonts w:cs="Arial"/>
                <w:b/>
                <w:bCs/>
                <w:szCs w:val="20"/>
              </w:rPr>
              <w:t xml:space="preserve">sztuka </w:t>
            </w:r>
          </w:p>
          <w:p w14:paraId="3B0C7FF9" w14:textId="77777777" w:rsidR="00D72CCC" w:rsidRDefault="00D72CCC" w:rsidP="00D72CCC">
            <w:pPr>
              <w:spacing w:before="60" w:afterLines="60" w:after="144" w:line="276" w:lineRule="auto"/>
              <w:ind w:right="232"/>
              <w:jc w:val="both"/>
              <w:rPr>
                <w:rFonts w:cs="Arial"/>
                <w:szCs w:val="20"/>
              </w:rPr>
            </w:pPr>
            <w:r w:rsidRPr="00A70C6E">
              <w:rPr>
                <w:rFonts w:cs="Arial"/>
                <w:szCs w:val="20"/>
              </w:rPr>
              <w:t>I</w:t>
            </w:r>
            <w:r>
              <w:rPr>
                <w:rFonts w:cs="Arial"/>
                <w:szCs w:val="20"/>
              </w:rPr>
              <w:t>II</w:t>
            </w:r>
            <w:r w:rsidRPr="00A70C6E">
              <w:rPr>
                <w:rFonts w:cs="Arial"/>
                <w:szCs w:val="20"/>
              </w:rPr>
              <w:t>. Stawka jednostkowa na zewnętrzne wsparcie doradcze dla partnera KM FE</w:t>
            </w:r>
            <w:r>
              <w:rPr>
                <w:rFonts w:cs="Arial"/>
                <w:szCs w:val="20"/>
              </w:rPr>
              <w:t>PW</w:t>
            </w:r>
          </w:p>
          <w:p w14:paraId="18B31387" w14:textId="69963DA2" w:rsidR="00D72CCC" w:rsidRPr="00A70C6E" w:rsidRDefault="00D72CCC" w:rsidP="00D72CCC">
            <w:pPr>
              <w:spacing w:before="60" w:afterLines="60" w:after="144" w:line="276" w:lineRule="auto"/>
              <w:ind w:left="708" w:right="232"/>
              <w:jc w:val="both"/>
              <w:rPr>
                <w:rFonts w:cs="Arial"/>
                <w:b/>
                <w:bCs/>
                <w:szCs w:val="20"/>
              </w:rPr>
            </w:pPr>
            <w:r w:rsidRPr="0010640D">
              <w:rPr>
                <w:rFonts w:cs="Arial"/>
                <w:szCs w:val="20"/>
                <w:u w:val="single"/>
              </w:rPr>
              <w:t>Nazwa wskaźnika</w:t>
            </w:r>
            <w:r w:rsidRPr="00233D3F">
              <w:rPr>
                <w:rFonts w:cs="Arial"/>
                <w:szCs w:val="20"/>
              </w:rPr>
              <w:t>: Liczba godzin zewnętrznego wsparcia doradczego dla partnera KM FE</w:t>
            </w:r>
            <w:r>
              <w:rPr>
                <w:rFonts w:cs="Arial"/>
                <w:szCs w:val="20"/>
              </w:rPr>
              <w:t xml:space="preserve">PW </w:t>
            </w:r>
            <w:r w:rsidRPr="00A70C6E">
              <w:rPr>
                <w:rFonts w:cs="Arial"/>
                <w:szCs w:val="20"/>
              </w:rPr>
              <w:t xml:space="preserve">– </w:t>
            </w:r>
            <w:r w:rsidRPr="00A70C6E">
              <w:rPr>
                <w:rFonts w:cs="Arial"/>
                <w:b/>
                <w:bCs/>
                <w:szCs w:val="20"/>
              </w:rPr>
              <w:t>godzina zegarowa</w:t>
            </w:r>
            <w:bookmarkEnd w:id="2"/>
          </w:p>
        </w:tc>
      </w:tr>
      <w:tr w:rsidR="00FB46DC" w:rsidRPr="00A70C6E" w14:paraId="0801BA29" w14:textId="77777777" w:rsidTr="3004B5B3">
        <w:trPr>
          <w:trHeight w:val="20"/>
        </w:trPr>
        <w:tc>
          <w:tcPr>
            <w:tcW w:w="859" w:type="pct"/>
            <w:shd w:val="clear" w:color="auto" w:fill="FFFFFF" w:themeFill="background1"/>
          </w:tcPr>
          <w:p w14:paraId="562FD444" w14:textId="6044F1C3" w:rsidR="00FB46DC" w:rsidRPr="00A70C6E" w:rsidRDefault="00FB46DC" w:rsidP="00FB46DC">
            <w:pPr>
              <w:pStyle w:val="Inne0"/>
              <w:spacing w:line="276" w:lineRule="auto"/>
              <w:ind w:left="129" w:right="279"/>
              <w:rPr>
                <w:rFonts w:ascii="Arial" w:hAnsi="Arial" w:cs="Arial"/>
                <w:b/>
                <w:smallCaps/>
                <w:sz w:val="20"/>
                <w:szCs w:val="20"/>
              </w:rPr>
            </w:pPr>
            <w:r>
              <w:rPr>
                <w:rFonts w:ascii="Arial" w:hAnsi="Arial" w:cs="Arial"/>
                <w:b/>
                <w:smallCaps/>
                <w:sz w:val="20"/>
                <w:szCs w:val="20"/>
              </w:rPr>
              <w:t>4</w:t>
            </w:r>
            <w:r w:rsidRPr="00A70C6E">
              <w:rPr>
                <w:rFonts w:ascii="Arial" w:hAnsi="Arial" w:cs="Arial"/>
                <w:b/>
                <w:smallCaps/>
                <w:sz w:val="20"/>
                <w:szCs w:val="20"/>
              </w:rPr>
              <w:t xml:space="preserve">. Kwota na każdą jednostkę miary lub wartość procentowa (w </w:t>
            </w:r>
            <w:r w:rsidRPr="00A70C6E">
              <w:rPr>
                <w:rFonts w:ascii="Arial" w:hAnsi="Arial" w:cs="Arial"/>
                <w:b/>
                <w:smallCaps/>
                <w:sz w:val="20"/>
                <w:szCs w:val="20"/>
              </w:rPr>
              <w:lastRenderedPageBreak/>
              <w:t>przypadku stawek ryczałtowych) SCO</w:t>
            </w:r>
          </w:p>
        </w:tc>
        <w:tc>
          <w:tcPr>
            <w:tcW w:w="4141" w:type="pct"/>
            <w:shd w:val="clear" w:color="auto" w:fill="FFFFFF" w:themeFill="background1"/>
          </w:tcPr>
          <w:p w14:paraId="6861B06E" w14:textId="77777777" w:rsidR="00FB46DC" w:rsidRPr="00A70C6E" w:rsidRDefault="00FB46DC" w:rsidP="00FB46DC">
            <w:pPr>
              <w:spacing w:before="60" w:afterLines="60" w:after="144" w:line="276" w:lineRule="auto"/>
              <w:ind w:right="232"/>
              <w:jc w:val="both"/>
              <w:rPr>
                <w:rFonts w:cs="Arial"/>
                <w:b/>
                <w:bCs/>
                <w:szCs w:val="20"/>
              </w:rPr>
            </w:pPr>
            <w:r>
              <w:rPr>
                <w:rFonts w:cs="Arial"/>
                <w:szCs w:val="20"/>
              </w:rPr>
              <w:lastRenderedPageBreak/>
              <w:t>I</w:t>
            </w:r>
            <w:r w:rsidRPr="00A70C6E">
              <w:rPr>
                <w:rFonts w:cs="Arial"/>
                <w:szCs w:val="20"/>
              </w:rPr>
              <w:t xml:space="preserve">. Stawka jednostkowa na podnoszenie przez partnerów KM kompetencji związanych z ich uczestnictwem w KM – </w:t>
            </w:r>
            <w:r w:rsidRPr="009759BB">
              <w:rPr>
                <w:rFonts w:cs="Arial"/>
                <w:b/>
                <w:bCs/>
                <w:szCs w:val="20"/>
              </w:rPr>
              <w:t xml:space="preserve">4 </w:t>
            </w:r>
            <w:r>
              <w:rPr>
                <w:rFonts w:cs="Arial"/>
                <w:b/>
                <w:bCs/>
                <w:szCs w:val="20"/>
              </w:rPr>
              <w:t>256</w:t>
            </w:r>
            <w:r w:rsidRPr="00A70C6E">
              <w:rPr>
                <w:rFonts w:cs="Arial"/>
                <w:b/>
                <w:bCs/>
                <w:szCs w:val="20"/>
              </w:rPr>
              <w:t xml:space="preserve"> PLN</w:t>
            </w:r>
          </w:p>
          <w:p w14:paraId="06BA5CA8" w14:textId="0D12CDD8" w:rsidR="00FB46DC" w:rsidRPr="00A70C6E" w:rsidRDefault="00FB46DC" w:rsidP="00FB46DC">
            <w:pPr>
              <w:spacing w:before="60" w:afterLines="60" w:after="144" w:line="276" w:lineRule="auto"/>
              <w:ind w:right="232"/>
              <w:jc w:val="both"/>
              <w:rPr>
                <w:rFonts w:cs="Arial"/>
                <w:szCs w:val="20"/>
              </w:rPr>
            </w:pPr>
            <w:r w:rsidRPr="00A70C6E">
              <w:rPr>
                <w:rFonts w:cs="Arial"/>
                <w:szCs w:val="20"/>
              </w:rPr>
              <w:t>I</w:t>
            </w:r>
            <w:r>
              <w:rPr>
                <w:rFonts w:cs="Arial"/>
                <w:szCs w:val="20"/>
              </w:rPr>
              <w:t>I</w:t>
            </w:r>
            <w:r w:rsidRPr="00A70C6E">
              <w:rPr>
                <w:rFonts w:cs="Arial"/>
                <w:szCs w:val="20"/>
              </w:rPr>
              <w:t xml:space="preserve">. Stawka jednostkowa na przygotowanie do posiedzeń KM – </w:t>
            </w:r>
            <w:r w:rsidRPr="00FB46DC">
              <w:rPr>
                <w:rFonts w:cs="Arial"/>
                <w:b/>
                <w:bCs/>
                <w:szCs w:val="20"/>
              </w:rPr>
              <w:t>5 320</w:t>
            </w:r>
            <w:r w:rsidRPr="00A70C6E">
              <w:rPr>
                <w:rFonts w:cs="Arial"/>
                <w:b/>
                <w:bCs/>
                <w:szCs w:val="20"/>
              </w:rPr>
              <w:t xml:space="preserve"> PLN</w:t>
            </w:r>
          </w:p>
          <w:p w14:paraId="03EF2241" w14:textId="368153B3" w:rsidR="00FB46DC" w:rsidRPr="00A70C6E" w:rsidRDefault="00FB46DC" w:rsidP="00FB46DC">
            <w:pPr>
              <w:spacing w:before="60" w:afterLines="60" w:after="144" w:line="276" w:lineRule="auto"/>
              <w:ind w:right="232"/>
              <w:rPr>
                <w:rFonts w:cs="Arial"/>
                <w:szCs w:val="20"/>
              </w:rPr>
            </w:pPr>
            <w:r w:rsidRPr="00A70C6E">
              <w:rPr>
                <w:rFonts w:cs="Arial"/>
                <w:szCs w:val="20"/>
              </w:rPr>
              <w:lastRenderedPageBreak/>
              <w:t>I</w:t>
            </w:r>
            <w:r>
              <w:rPr>
                <w:rFonts w:cs="Arial"/>
                <w:szCs w:val="20"/>
              </w:rPr>
              <w:t>II</w:t>
            </w:r>
            <w:r w:rsidRPr="00A70C6E">
              <w:rPr>
                <w:rFonts w:cs="Arial"/>
                <w:szCs w:val="20"/>
              </w:rPr>
              <w:t>. Stawka jednostkowa na zewnętrzne wsparcie doradcze dla partnera KM FE</w:t>
            </w:r>
            <w:r>
              <w:rPr>
                <w:rFonts w:cs="Arial"/>
                <w:szCs w:val="20"/>
              </w:rPr>
              <w:t>PW</w:t>
            </w:r>
            <w:r w:rsidRPr="00A70C6E">
              <w:rPr>
                <w:rFonts w:cs="Arial"/>
                <w:szCs w:val="20"/>
              </w:rPr>
              <w:t xml:space="preserve"> –</w:t>
            </w:r>
            <w:r w:rsidRPr="00A70C6E">
              <w:rPr>
                <w:rFonts w:cs="Arial"/>
                <w:b/>
                <w:bCs/>
                <w:szCs w:val="20"/>
              </w:rPr>
              <w:t xml:space="preserve"> </w:t>
            </w:r>
            <w:r>
              <w:rPr>
                <w:rFonts w:cs="Arial"/>
                <w:b/>
                <w:bCs/>
                <w:szCs w:val="20"/>
              </w:rPr>
              <w:t>616 PLN</w:t>
            </w:r>
          </w:p>
        </w:tc>
      </w:tr>
      <w:tr w:rsidR="00FB46DC" w:rsidRPr="00A70C6E" w14:paraId="29625D00" w14:textId="77777777" w:rsidTr="3004B5B3">
        <w:trPr>
          <w:trHeight w:val="20"/>
        </w:trPr>
        <w:tc>
          <w:tcPr>
            <w:tcW w:w="859" w:type="pct"/>
            <w:shd w:val="clear" w:color="auto" w:fill="FFFFFF" w:themeFill="background1"/>
          </w:tcPr>
          <w:p w14:paraId="41C0B8AF" w14:textId="0360FB66" w:rsidR="00FB46DC" w:rsidRPr="00A70C6E" w:rsidRDefault="00FB46DC" w:rsidP="00FB46DC">
            <w:pPr>
              <w:pStyle w:val="Inne0"/>
              <w:spacing w:line="276" w:lineRule="auto"/>
              <w:ind w:left="129" w:right="279"/>
              <w:rPr>
                <w:rFonts w:ascii="Arial" w:hAnsi="Arial" w:cs="Arial"/>
                <w:b/>
                <w:smallCaps/>
                <w:sz w:val="20"/>
                <w:szCs w:val="20"/>
              </w:rPr>
            </w:pPr>
            <w:r>
              <w:rPr>
                <w:rFonts w:ascii="Arial" w:hAnsi="Arial" w:cs="Arial"/>
                <w:b/>
                <w:smallCaps/>
                <w:sz w:val="20"/>
                <w:szCs w:val="20"/>
              </w:rPr>
              <w:lastRenderedPageBreak/>
              <w:t>5</w:t>
            </w:r>
            <w:r w:rsidRPr="00033CE0">
              <w:rPr>
                <w:rFonts w:ascii="Arial" w:hAnsi="Arial" w:cs="Arial"/>
                <w:b/>
                <w:smallCaps/>
                <w:sz w:val="20"/>
                <w:szCs w:val="20"/>
              </w:rPr>
              <w:t>. Czy wymienione kategorie kosztów pokrywają wszystkie wydatki kwalifikowalne w ramach danej operacji? (T/N)</w:t>
            </w:r>
          </w:p>
        </w:tc>
        <w:tc>
          <w:tcPr>
            <w:tcW w:w="4141" w:type="pct"/>
            <w:shd w:val="clear" w:color="auto" w:fill="FFFFFF" w:themeFill="background1"/>
          </w:tcPr>
          <w:p w14:paraId="737F0C22" w14:textId="77777777" w:rsidR="00FB46DC" w:rsidRPr="00A70C6E" w:rsidRDefault="00FB46DC" w:rsidP="00FB46DC">
            <w:pPr>
              <w:spacing w:before="60" w:afterLines="60" w:after="144" w:line="276" w:lineRule="auto"/>
              <w:ind w:right="232"/>
              <w:jc w:val="both"/>
              <w:rPr>
                <w:rFonts w:cs="Arial"/>
                <w:szCs w:val="20"/>
              </w:rPr>
            </w:pPr>
            <w:r w:rsidRPr="00A70C6E">
              <w:rPr>
                <w:rFonts w:cs="Arial"/>
                <w:szCs w:val="20"/>
              </w:rPr>
              <w:t xml:space="preserve">Nie. </w:t>
            </w:r>
          </w:p>
          <w:p w14:paraId="733DEAB7" w14:textId="567CA912" w:rsidR="00FB46DC" w:rsidRPr="00A70C6E" w:rsidRDefault="00FB46DC" w:rsidP="00FB46DC">
            <w:pPr>
              <w:spacing w:before="60" w:afterLines="60" w:after="144" w:line="276" w:lineRule="auto"/>
              <w:ind w:right="232"/>
              <w:jc w:val="both"/>
              <w:rPr>
                <w:rFonts w:cs="Arial"/>
              </w:rPr>
            </w:pPr>
            <w:r w:rsidRPr="3004B5B3">
              <w:rPr>
                <w:rFonts w:cs="Arial"/>
              </w:rPr>
              <w:t xml:space="preserve">Wydatki dotyczące prac KM to jeden z elementów wydatków finansowanych ze środków pomocy technicznej i  ponoszonych w ramach projektu IZ. Stawki jednostkowe dotyczą tej części projektu IZ, która obejmuje wsparcie partnerów KM w realizowaniu przez nich </w:t>
            </w:r>
            <w:r w:rsidRPr="001D44FF">
              <w:rPr>
                <w:rFonts w:cs="Arial"/>
              </w:rPr>
              <w:t>funkcji członka KM. Poza wydatkami rozliczanymi z zastosowaniem stawek jednostkowych dla partnerów KM, dodatkowo będą mogły być rozliczane</w:t>
            </w:r>
            <w:r>
              <w:rPr>
                <w:rFonts w:cs="Arial"/>
              </w:rPr>
              <w:t>, w oparciu o rzeczywiście ponoszone wydatki, koszty związane z uczestnictwem członka KM i jego zastępcy w posiedzeniach KM (koszt dojazdu i noclegu).</w:t>
            </w:r>
          </w:p>
        </w:tc>
      </w:tr>
      <w:tr w:rsidR="00FB46DC" w:rsidRPr="00A70C6E" w14:paraId="009ED9B1" w14:textId="77777777" w:rsidTr="3004B5B3">
        <w:trPr>
          <w:trHeight w:val="20"/>
        </w:trPr>
        <w:tc>
          <w:tcPr>
            <w:tcW w:w="859" w:type="pct"/>
            <w:shd w:val="clear" w:color="auto" w:fill="FFFFFF" w:themeFill="background1"/>
          </w:tcPr>
          <w:p w14:paraId="3D969FD8" w14:textId="3A9923AA" w:rsidR="00FB46DC" w:rsidRPr="00A70C6E" w:rsidRDefault="00FB46DC" w:rsidP="00FB46DC">
            <w:pPr>
              <w:pStyle w:val="Inne0"/>
              <w:spacing w:line="276" w:lineRule="auto"/>
              <w:ind w:left="129" w:right="279"/>
              <w:rPr>
                <w:rFonts w:ascii="Arial" w:hAnsi="Arial" w:cs="Arial"/>
                <w:b/>
                <w:smallCaps/>
                <w:sz w:val="20"/>
                <w:szCs w:val="20"/>
              </w:rPr>
            </w:pPr>
            <w:r>
              <w:rPr>
                <w:rFonts w:ascii="Arial" w:hAnsi="Arial" w:cs="Arial"/>
                <w:b/>
                <w:smallCaps/>
                <w:sz w:val="20"/>
                <w:szCs w:val="20"/>
              </w:rPr>
              <w:t>6</w:t>
            </w:r>
            <w:r w:rsidRPr="00A70C6E">
              <w:rPr>
                <w:rFonts w:ascii="Arial" w:hAnsi="Arial" w:cs="Arial"/>
                <w:b/>
                <w:smallCaps/>
                <w:sz w:val="20"/>
                <w:szCs w:val="20"/>
              </w:rPr>
              <w:t>. Metoda korekt(y)</w:t>
            </w:r>
            <w:r w:rsidRPr="00A70C6E">
              <w:rPr>
                <w:rStyle w:val="Odwoanieprzypisudolnego"/>
                <w:rFonts w:ascii="Arial" w:hAnsi="Arial" w:cs="Arial"/>
                <w:b/>
                <w:smallCaps/>
                <w:sz w:val="20"/>
                <w:szCs w:val="20"/>
              </w:rPr>
              <w:footnoteReference w:id="7"/>
            </w:r>
          </w:p>
        </w:tc>
        <w:tc>
          <w:tcPr>
            <w:tcW w:w="4141" w:type="pct"/>
            <w:shd w:val="clear" w:color="auto" w:fill="FFFFFF" w:themeFill="background1"/>
          </w:tcPr>
          <w:p w14:paraId="567EE8F3" w14:textId="6B2139CF" w:rsidR="00FB46DC" w:rsidRPr="00A70C6E" w:rsidRDefault="00FB46DC" w:rsidP="00FB46DC">
            <w:pPr>
              <w:spacing w:before="60" w:afterLines="60" w:after="144" w:line="276" w:lineRule="auto"/>
              <w:ind w:right="232"/>
              <w:jc w:val="both"/>
              <w:rPr>
                <w:rFonts w:cs="Arial"/>
                <w:szCs w:val="20"/>
              </w:rPr>
            </w:pPr>
            <w:r w:rsidRPr="00A70C6E">
              <w:rPr>
                <w:rFonts w:cs="Arial"/>
                <w:szCs w:val="20"/>
              </w:rPr>
              <w:t xml:space="preserve">Stawki jednostkowe będą indeksowane corocznie pod warunkiem, że wskaźnik cen towarów i usług konsumpcyjnych za rok poprzedni przekroczy 2%. </w:t>
            </w:r>
            <w:r w:rsidRPr="00201576">
              <w:rPr>
                <w:rFonts w:cs="Arial"/>
                <w:szCs w:val="20"/>
              </w:rPr>
              <w:t>Pierwsz</w:t>
            </w:r>
            <w:r>
              <w:rPr>
                <w:rFonts w:cs="Arial"/>
                <w:szCs w:val="20"/>
              </w:rPr>
              <w:t>a</w:t>
            </w:r>
            <w:r w:rsidRPr="00201576">
              <w:rPr>
                <w:rFonts w:cs="Arial"/>
                <w:szCs w:val="20"/>
              </w:rPr>
              <w:t xml:space="preserve"> </w:t>
            </w:r>
            <w:r>
              <w:rPr>
                <w:rFonts w:cs="Arial"/>
                <w:szCs w:val="20"/>
              </w:rPr>
              <w:t>analiza</w:t>
            </w:r>
            <w:r w:rsidRPr="00201576">
              <w:rPr>
                <w:rFonts w:cs="Arial"/>
                <w:szCs w:val="20"/>
              </w:rPr>
              <w:t xml:space="preserve"> wskaźnika będącego podstawą do indeksacji stawek będzie przeprowadzon</w:t>
            </w:r>
            <w:r>
              <w:rPr>
                <w:rFonts w:cs="Arial"/>
                <w:szCs w:val="20"/>
              </w:rPr>
              <w:t>a</w:t>
            </w:r>
            <w:r w:rsidRPr="00201576">
              <w:rPr>
                <w:rFonts w:cs="Arial"/>
                <w:szCs w:val="20"/>
              </w:rPr>
              <w:t xml:space="preserve"> w 2025 r. po ogłoszeniu przez Prezesa Głównego Urzędu Statystycznego komunikatu w sprawie średniorocznego wskaźnika cen towarów i usług konsumpcyjnych za rok 2024</w:t>
            </w:r>
            <w:r>
              <w:rPr>
                <w:rFonts w:cs="Arial"/>
                <w:szCs w:val="20"/>
              </w:rPr>
              <w:t>.</w:t>
            </w:r>
          </w:p>
          <w:p w14:paraId="6C425313" w14:textId="2D609B9C" w:rsidR="00FB46DC" w:rsidRDefault="00FB46DC" w:rsidP="00FB46DC">
            <w:pPr>
              <w:spacing w:before="60" w:afterLines="60" w:after="144" w:line="276" w:lineRule="auto"/>
              <w:ind w:right="235"/>
              <w:jc w:val="both"/>
              <w:rPr>
                <w:rFonts w:cs="Arial"/>
                <w:szCs w:val="20"/>
              </w:rPr>
            </w:pPr>
            <w:r w:rsidRPr="00A70C6E">
              <w:rPr>
                <w:rFonts w:cs="Arial"/>
                <w:szCs w:val="20"/>
              </w:rPr>
              <w:t>Jeśli zaistnieją przesłanki do indeksacji stawek jednostkowych będą one miały zastosowanie w projekcie pomocy technicznej na 202</w:t>
            </w:r>
            <w:r>
              <w:rPr>
                <w:rFonts w:cs="Arial"/>
                <w:szCs w:val="20"/>
              </w:rPr>
              <w:t>6</w:t>
            </w:r>
            <w:r w:rsidRPr="00A70C6E">
              <w:rPr>
                <w:rFonts w:cs="Arial"/>
                <w:szCs w:val="20"/>
              </w:rPr>
              <w:t xml:space="preserve"> r. </w:t>
            </w:r>
          </w:p>
          <w:p w14:paraId="5DBB970E" w14:textId="2A6F7991" w:rsidR="00FB46DC" w:rsidRPr="00A70C6E" w:rsidRDefault="00FB46DC" w:rsidP="00FB46DC">
            <w:pPr>
              <w:spacing w:before="60" w:afterLines="60" w:after="144" w:line="276" w:lineRule="auto"/>
              <w:ind w:right="235"/>
              <w:jc w:val="both"/>
              <w:rPr>
                <w:rFonts w:cs="Arial"/>
                <w:szCs w:val="20"/>
              </w:rPr>
            </w:pPr>
            <w:r w:rsidRPr="00A70C6E">
              <w:rPr>
                <w:rFonts w:cs="Arial"/>
                <w:szCs w:val="20"/>
              </w:rPr>
              <w:t xml:space="preserve">Analogiczna procedura będzie przeprowadzana w każdym kolejnym roku, a ewentualnie zindeksowane w ten sposób stawki jednostkowe będą miały zastosowanie w projekcie pomocy technicznej na kolejny rok. </w:t>
            </w:r>
          </w:p>
        </w:tc>
      </w:tr>
      <w:tr w:rsidR="00FB46DC" w:rsidRPr="00A70C6E" w14:paraId="18914999" w14:textId="77777777" w:rsidTr="3004B5B3">
        <w:trPr>
          <w:trHeight w:val="20"/>
        </w:trPr>
        <w:tc>
          <w:tcPr>
            <w:tcW w:w="859" w:type="pct"/>
            <w:shd w:val="clear" w:color="auto" w:fill="FFFFFF" w:themeFill="background1"/>
          </w:tcPr>
          <w:p w14:paraId="69121A77" w14:textId="198ECF14" w:rsidR="00FB46DC" w:rsidRPr="00A70C6E" w:rsidRDefault="00FB46DC" w:rsidP="00FB46DC">
            <w:pPr>
              <w:pStyle w:val="Inne0"/>
              <w:spacing w:line="276" w:lineRule="auto"/>
              <w:rPr>
                <w:rFonts w:ascii="Arial" w:hAnsi="Arial" w:cs="Arial"/>
                <w:b/>
                <w:smallCaps/>
                <w:sz w:val="20"/>
                <w:szCs w:val="20"/>
              </w:rPr>
            </w:pPr>
            <w:r>
              <w:rPr>
                <w:rFonts w:ascii="Arial" w:hAnsi="Arial" w:cs="Arial"/>
                <w:b/>
                <w:smallCaps/>
                <w:sz w:val="20"/>
                <w:szCs w:val="20"/>
              </w:rPr>
              <w:t>7</w:t>
            </w:r>
            <w:r w:rsidRPr="00A70C6E">
              <w:rPr>
                <w:rFonts w:ascii="Arial" w:hAnsi="Arial" w:cs="Arial"/>
                <w:b/>
                <w:smallCaps/>
                <w:sz w:val="20"/>
                <w:szCs w:val="20"/>
              </w:rPr>
              <w:t>. Weryfikacja osiągnięcia jednostek</w:t>
            </w:r>
            <w:r w:rsidRPr="00A70C6E">
              <w:rPr>
                <w:rFonts w:ascii="Arial" w:hAnsi="Arial" w:cs="Arial"/>
                <w:b/>
                <w:smallCaps/>
                <w:sz w:val="20"/>
                <w:szCs w:val="20"/>
              </w:rPr>
              <w:br/>
            </w:r>
          </w:p>
          <w:p w14:paraId="768E25CA" w14:textId="77777777" w:rsidR="00FB46DC" w:rsidRPr="00A70C6E" w:rsidRDefault="00FB46DC" w:rsidP="00FB46DC">
            <w:pPr>
              <w:pStyle w:val="Inne0"/>
              <w:numPr>
                <w:ilvl w:val="0"/>
                <w:numId w:val="2"/>
              </w:numPr>
              <w:spacing w:line="276" w:lineRule="auto"/>
              <w:ind w:left="414" w:hanging="285"/>
              <w:rPr>
                <w:rFonts w:ascii="Arial" w:hAnsi="Arial" w:cs="Arial"/>
                <w:b/>
                <w:smallCaps/>
                <w:sz w:val="20"/>
                <w:szCs w:val="20"/>
              </w:rPr>
            </w:pPr>
            <w:r w:rsidRPr="00A70C6E">
              <w:rPr>
                <w:rFonts w:ascii="Arial" w:hAnsi="Arial" w:cs="Arial"/>
                <w:b/>
                <w:smallCaps/>
                <w:sz w:val="20"/>
                <w:szCs w:val="20"/>
              </w:rPr>
              <w:t>należy opisać, jaki(e) dokument(y)/system będzie(-ą) wykorzystany(-e) w celu sprawdzenia, czy osiągnięto dostarczone jednostki</w:t>
            </w:r>
            <w:r w:rsidRPr="00A70C6E">
              <w:rPr>
                <w:rFonts w:ascii="Arial" w:hAnsi="Arial" w:cs="Arial"/>
                <w:b/>
                <w:smallCaps/>
                <w:sz w:val="20"/>
                <w:szCs w:val="20"/>
              </w:rPr>
              <w:br/>
            </w:r>
          </w:p>
          <w:p w14:paraId="464CA487" w14:textId="77777777" w:rsidR="00FB46DC" w:rsidRPr="00A70C6E" w:rsidRDefault="00FB46DC" w:rsidP="00FB46DC">
            <w:pPr>
              <w:pStyle w:val="Inne0"/>
              <w:numPr>
                <w:ilvl w:val="0"/>
                <w:numId w:val="2"/>
              </w:numPr>
              <w:spacing w:line="276" w:lineRule="auto"/>
              <w:ind w:left="414" w:hanging="285"/>
              <w:rPr>
                <w:rFonts w:ascii="Arial" w:hAnsi="Arial" w:cs="Arial"/>
                <w:b/>
                <w:smallCaps/>
                <w:sz w:val="20"/>
                <w:szCs w:val="20"/>
              </w:rPr>
            </w:pPr>
            <w:r w:rsidRPr="00A70C6E">
              <w:rPr>
                <w:rFonts w:ascii="Arial" w:hAnsi="Arial" w:cs="Arial"/>
                <w:b/>
                <w:smallCaps/>
                <w:sz w:val="20"/>
                <w:szCs w:val="20"/>
              </w:rPr>
              <w:lastRenderedPageBreak/>
              <w:t xml:space="preserve">należy opisać, co będzie sprawdzane w trakcie weryfikacji zarządczych </w:t>
            </w:r>
            <w:r w:rsidRPr="00A70C6E">
              <w:rPr>
                <w:rFonts w:ascii="Arial" w:hAnsi="Arial" w:cs="Arial"/>
                <w:b/>
                <w:smallCaps/>
                <w:sz w:val="20"/>
                <w:szCs w:val="20"/>
              </w:rPr>
              <w:br/>
              <w:t>i przez kogo</w:t>
            </w:r>
            <w:r w:rsidRPr="00A70C6E">
              <w:rPr>
                <w:rFonts w:ascii="Arial" w:hAnsi="Arial" w:cs="Arial"/>
                <w:b/>
                <w:smallCaps/>
                <w:sz w:val="20"/>
                <w:szCs w:val="20"/>
              </w:rPr>
              <w:br/>
            </w:r>
          </w:p>
          <w:p w14:paraId="0550A97C" w14:textId="77777777" w:rsidR="00FB46DC" w:rsidRPr="00A70C6E" w:rsidRDefault="00FB46DC" w:rsidP="00FB46DC">
            <w:pPr>
              <w:pStyle w:val="Inne0"/>
              <w:numPr>
                <w:ilvl w:val="0"/>
                <w:numId w:val="2"/>
              </w:numPr>
              <w:spacing w:line="276" w:lineRule="auto"/>
              <w:ind w:left="414" w:hanging="285"/>
              <w:rPr>
                <w:rFonts w:ascii="Arial" w:hAnsi="Arial" w:cs="Arial"/>
                <w:b/>
                <w:smallCaps/>
                <w:sz w:val="20"/>
                <w:szCs w:val="20"/>
              </w:rPr>
            </w:pPr>
            <w:r w:rsidRPr="00A70C6E">
              <w:rPr>
                <w:rFonts w:ascii="Arial" w:hAnsi="Arial" w:cs="Arial"/>
                <w:b/>
                <w:smallCaps/>
                <w:sz w:val="20"/>
                <w:szCs w:val="20"/>
              </w:rPr>
              <w:t>należy opisać, jakie rozwiązania zostaną przyjęte w celu gromadzenia i przechowywania stosownych danych/dokumentów</w:t>
            </w:r>
          </w:p>
        </w:tc>
        <w:tc>
          <w:tcPr>
            <w:tcW w:w="4141" w:type="pct"/>
            <w:shd w:val="clear" w:color="auto" w:fill="FFFFFF" w:themeFill="background1"/>
          </w:tcPr>
          <w:p w14:paraId="0282B6BE" w14:textId="1140F561" w:rsidR="00FB46DC" w:rsidRPr="00A70C6E" w:rsidRDefault="00FB46DC" w:rsidP="00FB46DC">
            <w:pPr>
              <w:spacing w:before="60" w:afterLines="60" w:after="144" w:line="276" w:lineRule="auto"/>
              <w:ind w:right="242"/>
              <w:jc w:val="both"/>
              <w:rPr>
                <w:rFonts w:cs="Arial"/>
                <w:szCs w:val="20"/>
              </w:rPr>
            </w:pPr>
            <w:r w:rsidRPr="00A70C6E">
              <w:rPr>
                <w:rFonts w:cs="Arial"/>
                <w:szCs w:val="20"/>
              </w:rPr>
              <w:lastRenderedPageBreak/>
              <w:t xml:space="preserve">Weryfikacja kwalifikowalności stawek jednostkowych będzie dokonywane przez IZ jako beneficjenta projektu pomocy technicznej  i nastąpi na podstawie dokumentów przekazanych przez partnera. </w:t>
            </w:r>
          </w:p>
          <w:p w14:paraId="3061846D" w14:textId="55A84A2A" w:rsidR="00FB46DC" w:rsidRPr="00DD692A" w:rsidRDefault="00FB46DC" w:rsidP="00FB46DC">
            <w:pPr>
              <w:spacing w:before="60" w:afterLines="60" w:after="144" w:line="276" w:lineRule="auto"/>
              <w:rPr>
                <w:rFonts w:cs="Arial"/>
                <w:szCs w:val="20"/>
              </w:rPr>
            </w:pPr>
            <w:r w:rsidRPr="00A70C6E">
              <w:rPr>
                <w:rFonts w:cs="Arial"/>
                <w:szCs w:val="20"/>
              </w:rPr>
              <w:t xml:space="preserve">Dokumentami uprawniającymi do kwalifikowania stawek jednostkowych są: </w:t>
            </w:r>
          </w:p>
          <w:p w14:paraId="2542D677" w14:textId="77777777" w:rsidR="00FB46DC" w:rsidRPr="00A70C6E" w:rsidRDefault="00FB46DC" w:rsidP="00FB46DC">
            <w:pPr>
              <w:pStyle w:val="Akapitzlist"/>
              <w:spacing w:before="60" w:afterLines="60" w:after="144" w:line="276" w:lineRule="auto"/>
              <w:ind w:left="681" w:hanging="437"/>
              <w:rPr>
                <w:rFonts w:cs="Arial"/>
                <w:szCs w:val="20"/>
              </w:rPr>
            </w:pPr>
          </w:p>
          <w:p w14:paraId="19310EDE" w14:textId="6D414B33" w:rsidR="00FB46DC" w:rsidRPr="00714D9B" w:rsidRDefault="00FB46DC" w:rsidP="00FB46DC">
            <w:pPr>
              <w:pStyle w:val="Akapitzlist"/>
              <w:numPr>
                <w:ilvl w:val="0"/>
                <w:numId w:val="52"/>
              </w:numPr>
              <w:spacing w:before="60" w:afterLines="60" w:after="144" w:line="276" w:lineRule="auto"/>
              <w:rPr>
                <w:rFonts w:cs="Arial"/>
                <w:b/>
                <w:bCs/>
                <w:szCs w:val="20"/>
              </w:rPr>
            </w:pPr>
            <w:r w:rsidRPr="00714D9B">
              <w:rPr>
                <w:rFonts w:cs="Arial"/>
                <w:b/>
                <w:bCs/>
                <w:szCs w:val="20"/>
              </w:rPr>
              <w:t>Stawka jednostkowa na podnoszenie przez partnerów KM kompetencji związanych z ich uczestnictwem w KM</w:t>
            </w:r>
            <w:r>
              <w:rPr>
                <w:rFonts w:cs="Arial"/>
                <w:b/>
                <w:bCs/>
                <w:szCs w:val="20"/>
              </w:rPr>
              <w:t xml:space="preserve"> FEPW</w:t>
            </w:r>
            <w:r w:rsidRPr="00714D9B">
              <w:rPr>
                <w:rFonts w:cs="Arial"/>
                <w:b/>
                <w:bCs/>
                <w:szCs w:val="20"/>
              </w:rPr>
              <w:t>:</w:t>
            </w:r>
          </w:p>
          <w:p w14:paraId="286C719A" w14:textId="26F25786" w:rsidR="00FB46DC" w:rsidRPr="00714D9B" w:rsidRDefault="00FB46DC" w:rsidP="00FB46DC">
            <w:pPr>
              <w:pStyle w:val="Akapitzlist"/>
              <w:numPr>
                <w:ilvl w:val="0"/>
                <w:numId w:val="54"/>
              </w:numPr>
              <w:spacing w:before="60" w:afterLines="60" w:after="144" w:line="276" w:lineRule="auto"/>
              <w:rPr>
                <w:rFonts w:cs="Arial"/>
                <w:szCs w:val="20"/>
              </w:rPr>
            </w:pPr>
            <w:r w:rsidRPr="00714D9B">
              <w:rPr>
                <w:rFonts w:cs="Arial"/>
                <w:szCs w:val="20"/>
              </w:rPr>
              <w:t xml:space="preserve">dwa dokumenty potwierdzające uczestnictwo członka KM </w:t>
            </w:r>
            <w:r>
              <w:rPr>
                <w:rFonts w:cs="Arial"/>
                <w:szCs w:val="20"/>
              </w:rPr>
              <w:t>i/</w:t>
            </w:r>
            <w:r w:rsidRPr="00714D9B">
              <w:rPr>
                <w:rFonts w:cs="Arial"/>
                <w:szCs w:val="20"/>
              </w:rPr>
              <w:t xml:space="preserve">lub jego zastępcy w dwóch formach edukacyjnych </w:t>
            </w:r>
            <w:r>
              <w:rPr>
                <w:rFonts w:cs="Arial"/>
                <w:szCs w:val="20"/>
              </w:rPr>
              <w:t xml:space="preserve">(po jednym dokumencie do każdej z form edukacyjnych) </w:t>
            </w:r>
            <w:r w:rsidRPr="00714D9B">
              <w:rPr>
                <w:rFonts w:cs="Arial"/>
                <w:szCs w:val="20"/>
              </w:rPr>
              <w:t xml:space="preserve">– certyfikat, dyplom lub inne </w:t>
            </w:r>
            <w:r>
              <w:rPr>
                <w:rFonts w:cs="Arial"/>
                <w:szCs w:val="20"/>
              </w:rPr>
              <w:t xml:space="preserve">pisemne </w:t>
            </w:r>
            <w:r w:rsidRPr="00714D9B">
              <w:rPr>
                <w:rFonts w:cs="Arial"/>
                <w:szCs w:val="20"/>
              </w:rPr>
              <w:t xml:space="preserve">zaświadczenie organizatora potwierdzające udział członka </w:t>
            </w:r>
            <w:r>
              <w:rPr>
                <w:rFonts w:cs="Arial"/>
                <w:szCs w:val="20"/>
              </w:rPr>
              <w:t>i/</w:t>
            </w:r>
            <w:r w:rsidRPr="00714D9B">
              <w:rPr>
                <w:rFonts w:cs="Arial"/>
                <w:szCs w:val="20"/>
              </w:rPr>
              <w:t>lub zastępcy w formie edukacyjnej</w:t>
            </w:r>
          </w:p>
          <w:p w14:paraId="186B4119" w14:textId="77777777" w:rsidR="00FB46DC" w:rsidRDefault="00FB46DC" w:rsidP="00FB46DC">
            <w:pPr>
              <w:pStyle w:val="Akapitzlist"/>
              <w:spacing w:before="60" w:afterLines="60" w:after="144" w:line="276" w:lineRule="auto"/>
              <w:ind w:left="1800" w:right="232"/>
              <w:jc w:val="both"/>
              <w:rPr>
                <w:rFonts w:cs="Arial"/>
                <w:b/>
                <w:bCs/>
                <w:szCs w:val="20"/>
              </w:rPr>
            </w:pPr>
          </w:p>
          <w:p w14:paraId="102A47E9" w14:textId="4D56DD0E" w:rsidR="00FB46DC" w:rsidRPr="00C97704" w:rsidRDefault="00FB46DC" w:rsidP="00FB46DC">
            <w:pPr>
              <w:pStyle w:val="Akapitzlist"/>
              <w:numPr>
                <w:ilvl w:val="0"/>
                <w:numId w:val="52"/>
              </w:numPr>
              <w:spacing w:before="60" w:afterLines="60" w:after="144" w:line="276" w:lineRule="auto"/>
              <w:ind w:right="232"/>
              <w:jc w:val="both"/>
              <w:rPr>
                <w:rFonts w:cs="Arial"/>
                <w:b/>
                <w:bCs/>
                <w:szCs w:val="20"/>
              </w:rPr>
            </w:pPr>
            <w:r w:rsidRPr="00C97704">
              <w:rPr>
                <w:rFonts w:cs="Arial"/>
                <w:b/>
                <w:bCs/>
                <w:szCs w:val="20"/>
              </w:rPr>
              <w:t>Stawka jednostkowa na przygotowanie do posiedzeń KM FE</w:t>
            </w:r>
            <w:r>
              <w:rPr>
                <w:rFonts w:cs="Arial"/>
                <w:b/>
                <w:bCs/>
                <w:szCs w:val="20"/>
              </w:rPr>
              <w:t>PW</w:t>
            </w:r>
            <w:r w:rsidRPr="00C97704">
              <w:rPr>
                <w:rFonts w:cs="Arial"/>
                <w:b/>
                <w:bCs/>
                <w:szCs w:val="20"/>
              </w:rPr>
              <w:t xml:space="preserve"> </w:t>
            </w:r>
          </w:p>
          <w:p w14:paraId="41155D5B" w14:textId="2182DAA8" w:rsidR="00FB46DC" w:rsidRDefault="00FB46DC" w:rsidP="00FB46DC">
            <w:pPr>
              <w:pStyle w:val="Akapitzlist"/>
              <w:numPr>
                <w:ilvl w:val="0"/>
                <w:numId w:val="38"/>
              </w:numPr>
              <w:spacing w:before="60" w:afterLines="60" w:after="144" w:line="276" w:lineRule="auto"/>
              <w:ind w:right="232"/>
              <w:jc w:val="both"/>
              <w:rPr>
                <w:rFonts w:cs="Arial"/>
                <w:szCs w:val="20"/>
              </w:rPr>
            </w:pPr>
            <w:r w:rsidRPr="00A70C6E">
              <w:rPr>
                <w:rFonts w:cs="Arial"/>
                <w:szCs w:val="20"/>
              </w:rPr>
              <w:lastRenderedPageBreak/>
              <w:t>sprawozdani</w:t>
            </w:r>
            <w:r>
              <w:rPr>
                <w:rFonts w:cs="Arial"/>
                <w:szCs w:val="20"/>
              </w:rPr>
              <w:t>e</w:t>
            </w:r>
            <w:r w:rsidRPr="00A70C6E">
              <w:rPr>
                <w:rFonts w:cs="Arial"/>
                <w:szCs w:val="20"/>
              </w:rPr>
              <w:t xml:space="preserve"> partnera KM wg wzoru opracowanego przez IZ z organizacji spotka</w:t>
            </w:r>
            <w:r>
              <w:rPr>
                <w:rFonts w:cs="Arial"/>
                <w:szCs w:val="20"/>
              </w:rPr>
              <w:t>nia</w:t>
            </w:r>
            <w:r w:rsidRPr="00A70C6E">
              <w:rPr>
                <w:rFonts w:cs="Arial"/>
                <w:szCs w:val="20"/>
              </w:rPr>
              <w:t xml:space="preserve"> konsultacyjn</w:t>
            </w:r>
            <w:r>
              <w:rPr>
                <w:rFonts w:cs="Arial"/>
                <w:szCs w:val="20"/>
              </w:rPr>
              <w:t>ego</w:t>
            </w:r>
            <w:r w:rsidRPr="00BA7501">
              <w:rPr>
                <w:rFonts w:cs="Arial"/>
                <w:szCs w:val="20"/>
              </w:rPr>
              <w:t xml:space="preserve">, </w:t>
            </w:r>
            <w:r>
              <w:rPr>
                <w:rFonts w:cs="Arial"/>
                <w:szCs w:val="20"/>
              </w:rPr>
              <w:t>który będzie stanowił załącznik do</w:t>
            </w:r>
            <w:r w:rsidRPr="00BA7501">
              <w:rPr>
                <w:rFonts w:cs="Arial"/>
                <w:szCs w:val="20"/>
              </w:rPr>
              <w:t xml:space="preserve"> umow</w:t>
            </w:r>
            <w:r>
              <w:rPr>
                <w:rFonts w:cs="Arial"/>
                <w:szCs w:val="20"/>
              </w:rPr>
              <w:t>y</w:t>
            </w:r>
            <w:r w:rsidRPr="00BA7501">
              <w:rPr>
                <w:rFonts w:cs="Arial"/>
                <w:szCs w:val="20"/>
              </w:rPr>
              <w:t xml:space="preserve"> zawieranej przez IZ z partnerem KM</w:t>
            </w:r>
          </w:p>
          <w:p w14:paraId="1216B845" w14:textId="1B652C9F" w:rsidR="00FB46DC" w:rsidRPr="00A70C6E" w:rsidRDefault="00FB46DC" w:rsidP="00FB46DC">
            <w:pPr>
              <w:pStyle w:val="Akapitzlist"/>
              <w:numPr>
                <w:ilvl w:val="0"/>
                <w:numId w:val="38"/>
              </w:numPr>
              <w:spacing w:before="60" w:afterLines="60" w:after="144" w:line="276" w:lineRule="auto"/>
              <w:ind w:right="232"/>
              <w:jc w:val="both"/>
              <w:rPr>
                <w:rFonts w:cs="Arial"/>
                <w:szCs w:val="20"/>
              </w:rPr>
            </w:pPr>
            <w:r>
              <w:rPr>
                <w:rFonts w:cs="Arial"/>
                <w:szCs w:val="20"/>
              </w:rPr>
              <w:t xml:space="preserve">imienna lista obecności na spotkaniu konsultacyjnym stacjonarnym, a w przypadku spotkania hybrydowego –  uzupełniona o wykaz osób uczestniczących w spotkaniu zdalnie </w:t>
            </w:r>
          </w:p>
          <w:p w14:paraId="0269771F" w14:textId="77777777" w:rsidR="00FB46DC" w:rsidRPr="00A70C6E" w:rsidRDefault="00FB46DC" w:rsidP="00FB46DC">
            <w:pPr>
              <w:pStyle w:val="Akapitzlist"/>
              <w:spacing w:before="60" w:afterLines="60" w:after="144" w:line="276" w:lineRule="auto"/>
              <w:ind w:left="681" w:hanging="437"/>
              <w:rPr>
                <w:rFonts w:cs="Arial"/>
                <w:szCs w:val="20"/>
              </w:rPr>
            </w:pPr>
          </w:p>
          <w:p w14:paraId="26320862" w14:textId="722FBE31" w:rsidR="00FB46DC" w:rsidRPr="00A70C6E" w:rsidRDefault="00FB46DC" w:rsidP="00FB46DC">
            <w:pPr>
              <w:pStyle w:val="Akapitzlist"/>
              <w:numPr>
                <w:ilvl w:val="0"/>
                <w:numId w:val="52"/>
              </w:numPr>
              <w:spacing w:before="60" w:afterLines="60" w:after="144" w:line="276" w:lineRule="auto"/>
              <w:ind w:right="232"/>
              <w:jc w:val="both"/>
              <w:rPr>
                <w:rFonts w:cs="Arial"/>
                <w:b/>
                <w:bCs/>
                <w:szCs w:val="20"/>
              </w:rPr>
            </w:pPr>
            <w:r w:rsidRPr="00A70C6E">
              <w:rPr>
                <w:rFonts w:cs="Arial"/>
                <w:b/>
                <w:bCs/>
                <w:szCs w:val="20"/>
              </w:rPr>
              <w:t>Stawka jednostkowa na zewnętrzne wsparcie doradcze dla partnera KM FE</w:t>
            </w:r>
            <w:r>
              <w:rPr>
                <w:rFonts w:cs="Arial"/>
                <w:b/>
                <w:bCs/>
                <w:szCs w:val="20"/>
              </w:rPr>
              <w:t>PW</w:t>
            </w:r>
            <w:r w:rsidRPr="00A70C6E">
              <w:rPr>
                <w:rFonts w:cs="Arial"/>
                <w:b/>
                <w:bCs/>
                <w:szCs w:val="20"/>
              </w:rPr>
              <w:t xml:space="preserve">: </w:t>
            </w:r>
          </w:p>
          <w:p w14:paraId="6878515E" w14:textId="2AF09995" w:rsidR="00FB46DC" w:rsidRPr="00A70C6E" w:rsidRDefault="00FB46DC" w:rsidP="00FB46DC">
            <w:pPr>
              <w:pStyle w:val="Akapitzlist"/>
              <w:numPr>
                <w:ilvl w:val="0"/>
                <w:numId w:val="38"/>
              </w:numPr>
              <w:tabs>
                <w:tab w:val="left" w:pos="537"/>
                <w:tab w:val="left" w:pos="681"/>
              </w:tabs>
              <w:spacing w:before="60" w:afterLines="60" w:after="144" w:line="276" w:lineRule="auto"/>
              <w:ind w:right="232"/>
              <w:jc w:val="both"/>
              <w:rPr>
                <w:rFonts w:cs="Arial"/>
                <w:szCs w:val="20"/>
              </w:rPr>
            </w:pPr>
            <w:r w:rsidRPr="00A70C6E">
              <w:rPr>
                <w:rFonts w:cs="Arial"/>
                <w:szCs w:val="20"/>
              </w:rPr>
              <w:t>zlecenie wsparcia doradczego podmiotowi zewnętrznemu (mail/pismo</w:t>
            </w:r>
            <w:r>
              <w:rPr>
                <w:rFonts w:cs="Arial"/>
                <w:szCs w:val="20"/>
              </w:rPr>
              <w:t>/umowa</w:t>
            </w:r>
            <w:r w:rsidRPr="00A70C6E">
              <w:rPr>
                <w:rFonts w:cs="Arial"/>
                <w:szCs w:val="20"/>
              </w:rPr>
              <w:t>)</w:t>
            </w:r>
          </w:p>
          <w:p w14:paraId="6AD68512" w14:textId="1A819C76" w:rsidR="00FB46DC" w:rsidRPr="00A70C6E" w:rsidRDefault="00FB46DC" w:rsidP="00FB46DC">
            <w:pPr>
              <w:pStyle w:val="Akapitzlist"/>
              <w:numPr>
                <w:ilvl w:val="0"/>
                <w:numId w:val="38"/>
              </w:numPr>
              <w:tabs>
                <w:tab w:val="left" w:pos="537"/>
                <w:tab w:val="left" w:pos="681"/>
              </w:tabs>
              <w:spacing w:before="60" w:afterLines="60" w:after="144" w:line="276" w:lineRule="auto"/>
              <w:ind w:right="232"/>
              <w:jc w:val="both"/>
              <w:rPr>
                <w:rFonts w:cs="Arial"/>
                <w:szCs w:val="20"/>
              </w:rPr>
            </w:pPr>
            <w:r>
              <w:rPr>
                <w:rFonts w:cs="Arial"/>
                <w:szCs w:val="20"/>
              </w:rPr>
              <w:t xml:space="preserve">pisemne określenie </w:t>
            </w:r>
            <w:r w:rsidRPr="00A70C6E">
              <w:rPr>
                <w:rFonts w:cs="Arial"/>
                <w:szCs w:val="20"/>
              </w:rPr>
              <w:t>liczby godzin usługi wsparcia doradczego wykonan</w:t>
            </w:r>
            <w:r>
              <w:rPr>
                <w:rFonts w:cs="Arial"/>
                <w:szCs w:val="20"/>
              </w:rPr>
              <w:t>ego</w:t>
            </w:r>
            <w:r w:rsidRPr="00A70C6E">
              <w:rPr>
                <w:rFonts w:cs="Arial"/>
                <w:szCs w:val="20"/>
              </w:rPr>
              <w:t xml:space="preserve"> przez podmiot zewnętrzny</w:t>
            </w:r>
          </w:p>
          <w:p w14:paraId="42BC0265" w14:textId="15E7FF11" w:rsidR="00FB46DC" w:rsidRDefault="00FB46DC" w:rsidP="00FB46DC">
            <w:pPr>
              <w:pStyle w:val="Akapitzlist"/>
              <w:numPr>
                <w:ilvl w:val="0"/>
                <w:numId w:val="38"/>
              </w:numPr>
              <w:tabs>
                <w:tab w:val="left" w:pos="537"/>
                <w:tab w:val="left" w:pos="681"/>
              </w:tabs>
              <w:spacing w:before="60" w:afterLines="60" w:after="144" w:line="276" w:lineRule="auto"/>
              <w:ind w:right="232"/>
              <w:jc w:val="both"/>
              <w:rPr>
                <w:rFonts w:cs="Arial"/>
                <w:szCs w:val="20"/>
              </w:rPr>
            </w:pPr>
            <w:r w:rsidRPr="00A70C6E">
              <w:rPr>
                <w:rFonts w:cs="Arial"/>
                <w:szCs w:val="20"/>
              </w:rPr>
              <w:t>pisemna analiza, opinia lub raport wynikając</w:t>
            </w:r>
            <w:r>
              <w:rPr>
                <w:rFonts w:cs="Arial"/>
                <w:szCs w:val="20"/>
              </w:rPr>
              <w:t>e</w:t>
            </w:r>
            <w:r w:rsidRPr="00A70C6E">
              <w:rPr>
                <w:rFonts w:cs="Arial"/>
                <w:szCs w:val="20"/>
              </w:rPr>
              <w:t xml:space="preserve"> ze wsparcia doradczego przygotowan</w:t>
            </w:r>
            <w:r>
              <w:rPr>
                <w:rFonts w:cs="Arial"/>
                <w:szCs w:val="20"/>
              </w:rPr>
              <w:t>e</w:t>
            </w:r>
            <w:r w:rsidRPr="00A70C6E">
              <w:rPr>
                <w:rFonts w:cs="Arial"/>
                <w:szCs w:val="20"/>
              </w:rPr>
              <w:t xml:space="preserve"> przez eksperta zewnętrznego, któr</w:t>
            </w:r>
            <w:r>
              <w:rPr>
                <w:rFonts w:cs="Arial"/>
                <w:szCs w:val="20"/>
              </w:rPr>
              <w:t>e</w:t>
            </w:r>
            <w:r w:rsidRPr="00A70C6E">
              <w:rPr>
                <w:rFonts w:cs="Arial"/>
                <w:szCs w:val="20"/>
              </w:rPr>
              <w:t xml:space="preserve"> po przekazaniu </w:t>
            </w:r>
            <w:r>
              <w:rPr>
                <w:rFonts w:cs="Arial"/>
                <w:szCs w:val="20"/>
              </w:rPr>
              <w:t>do IZ będą</w:t>
            </w:r>
            <w:r w:rsidRPr="00A70C6E">
              <w:rPr>
                <w:rFonts w:cs="Arial"/>
                <w:szCs w:val="20"/>
              </w:rPr>
              <w:t xml:space="preserve"> </w:t>
            </w:r>
            <w:r>
              <w:rPr>
                <w:rFonts w:cs="Arial"/>
                <w:szCs w:val="20"/>
              </w:rPr>
              <w:t>przekazane do wszystkich osób wchodzących w skład KM.</w:t>
            </w:r>
          </w:p>
          <w:p w14:paraId="36268D18" w14:textId="77777777" w:rsidR="00FB46DC" w:rsidRPr="00A70C6E" w:rsidRDefault="00FB46DC" w:rsidP="00FB46DC">
            <w:pPr>
              <w:pStyle w:val="Akapitzlist"/>
              <w:tabs>
                <w:tab w:val="left" w:pos="537"/>
                <w:tab w:val="left" w:pos="681"/>
              </w:tabs>
              <w:spacing w:before="60" w:afterLines="60" w:after="144" w:line="276" w:lineRule="auto"/>
              <w:ind w:left="1401" w:right="232"/>
              <w:jc w:val="both"/>
              <w:rPr>
                <w:rFonts w:cs="Arial"/>
                <w:szCs w:val="20"/>
              </w:rPr>
            </w:pPr>
          </w:p>
          <w:p w14:paraId="0E712E95" w14:textId="0FAC3270" w:rsidR="00FB46DC" w:rsidRDefault="00FB46DC" w:rsidP="00FB46DC">
            <w:pPr>
              <w:spacing w:before="60" w:afterLines="60" w:after="144" w:line="276" w:lineRule="auto"/>
              <w:rPr>
                <w:rFonts w:cs="Arial"/>
                <w:szCs w:val="20"/>
              </w:rPr>
            </w:pPr>
            <w:r w:rsidRPr="00A70C6E">
              <w:rPr>
                <w:rFonts w:cs="Arial"/>
                <w:szCs w:val="20"/>
              </w:rPr>
              <w:t>Za weryfikację osiągnięcia wskaźnika odpowiada IZ – beneficjent projektu pomocy technicznej.</w:t>
            </w:r>
            <w:r w:rsidRPr="00A70C6E" w:rsidDel="00D847FD">
              <w:rPr>
                <w:rFonts w:cs="Arial"/>
                <w:szCs w:val="20"/>
              </w:rPr>
              <w:t xml:space="preserve"> </w:t>
            </w:r>
            <w:r w:rsidRPr="00A70C6E">
              <w:rPr>
                <w:rFonts w:cs="Arial"/>
                <w:szCs w:val="20"/>
              </w:rPr>
              <w:t>Dokumenty</w:t>
            </w:r>
            <w:r>
              <w:rPr>
                <w:rFonts w:cs="Arial"/>
                <w:szCs w:val="20"/>
              </w:rPr>
              <w:t>, o których mowa powyżej w tym pkt metodyki,</w:t>
            </w:r>
            <w:r w:rsidRPr="00A70C6E">
              <w:rPr>
                <w:rFonts w:cs="Arial"/>
                <w:szCs w:val="20"/>
              </w:rPr>
              <w:t xml:space="preserve"> będą gromadzone i przechowywane przez IZ</w:t>
            </w:r>
            <w:r>
              <w:rPr>
                <w:rFonts w:cs="Arial"/>
                <w:szCs w:val="20"/>
              </w:rPr>
              <w:t xml:space="preserve"> </w:t>
            </w:r>
            <w:r w:rsidRPr="00AC0FFA">
              <w:rPr>
                <w:rFonts w:cs="Arial"/>
                <w:szCs w:val="20"/>
              </w:rPr>
              <w:t>na dysku sieciowym w okresie wskazanym w art. 82 Rozporządzenia PE i Rady (UE) 2021/1060, tj. do 5 lat od końca roku, w którym nastąpiła ostatnia płatność na rzecz beneficjenta.</w:t>
            </w:r>
          </w:p>
          <w:p w14:paraId="5981957A" w14:textId="5B8AA542" w:rsidR="00FB46DC" w:rsidRPr="00A67CA7" w:rsidRDefault="00FB46DC" w:rsidP="00FB46DC">
            <w:pPr>
              <w:spacing w:before="60" w:afterLines="60" w:after="144" w:line="276" w:lineRule="auto"/>
              <w:rPr>
                <w:rFonts w:cs="Arial"/>
                <w:szCs w:val="20"/>
              </w:rPr>
            </w:pPr>
            <w:r w:rsidRPr="00A67CA7">
              <w:rPr>
                <w:rFonts w:cs="Arial"/>
                <w:szCs w:val="20"/>
              </w:rPr>
              <w:t xml:space="preserve">Partner KM nie jest zobowiązany do gromadzenia innych dokumentów niż te, które zostały wyżej wskazane jako niezbędne do przekazania celem potwierdzenia kwalifikowalności stawek jednostkowych. </w:t>
            </w:r>
          </w:p>
          <w:p w14:paraId="304D17A8" w14:textId="202F50A3" w:rsidR="00FB46DC" w:rsidRPr="00A70C6E" w:rsidRDefault="00FB46DC" w:rsidP="00FB46DC">
            <w:pPr>
              <w:spacing w:before="60" w:afterLines="60" w:after="144" w:line="276" w:lineRule="auto"/>
              <w:rPr>
                <w:rFonts w:cs="Arial"/>
                <w:szCs w:val="20"/>
              </w:rPr>
            </w:pPr>
            <w:r w:rsidRPr="00A67CA7">
              <w:rPr>
                <w:rFonts w:cs="Arial"/>
              </w:rPr>
              <w:t xml:space="preserve">Stawki jednostkowe potwierdzone przez IZ – beneficjenta </w:t>
            </w:r>
            <w:r w:rsidRPr="00A70C6E">
              <w:rPr>
                <w:rFonts w:cs="Arial"/>
                <w:szCs w:val="20"/>
              </w:rPr>
              <w:t>projektu pomocy technicznej</w:t>
            </w:r>
            <w:r>
              <w:rPr>
                <w:rFonts w:cs="Arial"/>
                <w:szCs w:val="20"/>
              </w:rPr>
              <w:t>,</w:t>
            </w:r>
            <w:r w:rsidRPr="00A67CA7">
              <w:rPr>
                <w:rFonts w:cs="Arial"/>
              </w:rPr>
              <w:t xml:space="preserve"> będą podlegać kontroli w ramach weryfikacji wniosków o płatność i kontroli na miejscu przez IZ uprawnioną zgodnie z instrukcjami wykonawczymi do weryfikacji wniosków o płatność. </w:t>
            </w:r>
          </w:p>
        </w:tc>
      </w:tr>
      <w:tr w:rsidR="00FB46DC" w:rsidRPr="00A70C6E" w14:paraId="782294FA" w14:textId="77777777" w:rsidTr="3004B5B3">
        <w:trPr>
          <w:trHeight w:val="20"/>
        </w:trPr>
        <w:tc>
          <w:tcPr>
            <w:tcW w:w="859" w:type="pct"/>
            <w:shd w:val="clear" w:color="auto" w:fill="FFFFFF" w:themeFill="background1"/>
          </w:tcPr>
          <w:p w14:paraId="18C12396" w14:textId="16AAF362" w:rsidR="00FB46DC" w:rsidRPr="00A70C6E" w:rsidRDefault="00FB46DC" w:rsidP="00FB46DC">
            <w:pPr>
              <w:pStyle w:val="Inne0"/>
              <w:spacing w:line="276" w:lineRule="auto"/>
              <w:rPr>
                <w:rFonts w:ascii="Arial" w:hAnsi="Arial" w:cs="Arial"/>
                <w:b/>
                <w:smallCaps/>
                <w:sz w:val="20"/>
                <w:szCs w:val="20"/>
              </w:rPr>
            </w:pPr>
            <w:r>
              <w:rPr>
                <w:rFonts w:ascii="Arial" w:hAnsi="Arial" w:cs="Arial"/>
                <w:b/>
                <w:smallCaps/>
                <w:sz w:val="20"/>
                <w:szCs w:val="20"/>
              </w:rPr>
              <w:lastRenderedPageBreak/>
              <w:t>8</w:t>
            </w:r>
            <w:r w:rsidRPr="00A70C6E">
              <w:rPr>
                <w:rFonts w:ascii="Arial" w:hAnsi="Arial" w:cs="Arial"/>
                <w:b/>
                <w:smallCaps/>
                <w:sz w:val="20"/>
                <w:szCs w:val="20"/>
              </w:rPr>
              <w:t>. Możliwe niepożądane zachęty, środki łagodzące</w:t>
            </w:r>
            <w:r w:rsidRPr="00A70C6E">
              <w:rPr>
                <w:rStyle w:val="Odwoanieprzypisudolnego"/>
                <w:rFonts w:ascii="Arial" w:hAnsi="Arial" w:cs="Arial"/>
                <w:b/>
                <w:smallCaps/>
                <w:sz w:val="20"/>
                <w:szCs w:val="20"/>
              </w:rPr>
              <w:footnoteReference w:id="8"/>
            </w:r>
            <w:r w:rsidRPr="00A70C6E">
              <w:rPr>
                <w:rFonts w:ascii="Arial" w:hAnsi="Arial" w:cs="Arial"/>
                <w:b/>
                <w:smallCaps/>
                <w:sz w:val="20"/>
                <w:szCs w:val="20"/>
              </w:rPr>
              <w:t xml:space="preserve"> oraz szacowany poziom ryzyka (wysoki/średni/niski)</w:t>
            </w:r>
          </w:p>
        </w:tc>
        <w:tc>
          <w:tcPr>
            <w:tcW w:w="4141" w:type="pct"/>
            <w:shd w:val="clear" w:color="auto" w:fill="FFFFFF" w:themeFill="background1"/>
          </w:tcPr>
          <w:p w14:paraId="447F0364" w14:textId="77777777" w:rsidR="00FB46DC" w:rsidRPr="00A70C6E" w:rsidRDefault="00FB46DC" w:rsidP="00FB46DC">
            <w:pPr>
              <w:spacing w:before="60" w:afterLines="60" w:after="144" w:line="276" w:lineRule="auto"/>
              <w:ind w:right="238"/>
              <w:jc w:val="both"/>
              <w:rPr>
                <w:rFonts w:cs="Arial"/>
                <w:szCs w:val="20"/>
              </w:rPr>
            </w:pPr>
            <w:r w:rsidRPr="00A70C6E">
              <w:rPr>
                <w:rFonts w:cs="Arial"/>
                <w:szCs w:val="20"/>
              </w:rPr>
              <w:t>W oparciu o dotychczasowe doświadczenie związane z zastosowaniem uproszczonych metod rozliczania można zidentyfikować następujące obszary obarczone ryzykiem:</w:t>
            </w:r>
          </w:p>
          <w:p w14:paraId="57B1DB42" w14:textId="77777777" w:rsidR="00FB46DC" w:rsidRPr="00A70C6E" w:rsidRDefault="00FB46DC" w:rsidP="00FB46DC">
            <w:pPr>
              <w:pStyle w:val="Akapitzlist"/>
              <w:numPr>
                <w:ilvl w:val="0"/>
                <w:numId w:val="41"/>
              </w:numPr>
              <w:spacing w:before="60" w:afterLines="60" w:after="144" w:line="276" w:lineRule="auto"/>
              <w:ind w:right="238"/>
              <w:jc w:val="both"/>
              <w:rPr>
                <w:rFonts w:cs="Arial"/>
                <w:szCs w:val="20"/>
              </w:rPr>
            </w:pPr>
            <w:r w:rsidRPr="00A70C6E">
              <w:rPr>
                <w:rFonts w:cs="Arial"/>
                <w:szCs w:val="20"/>
              </w:rPr>
              <w:t>ryzyko braku znajomości czy zrozumienia mechanizmu stawek jednostkowych przez partnerów, a przez to potencjalne obawy lub nawet niechęć do ich stosowania. Działaniem zaradczym będzie aktywna polityka informacyjna w stosunku do poszczególnych partnerów uczestniczących w pracach KM.</w:t>
            </w:r>
          </w:p>
          <w:p w14:paraId="5D355B33" w14:textId="77777777" w:rsidR="00FB46DC" w:rsidRPr="00A70C6E" w:rsidRDefault="00FB46DC" w:rsidP="00FB46DC">
            <w:pPr>
              <w:pStyle w:val="Akapitzlist"/>
              <w:spacing w:before="60" w:afterLines="60" w:after="144" w:line="276" w:lineRule="auto"/>
              <w:ind w:right="238"/>
              <w:jc w:val="both"/>
              <w:rPr>
                <w:rFonts w:cs="Arial"/>
                <w:szCs w:val="20"/>
              </w:rPr>
            </w:pPr>
          </w:p>
          <w:p w14:paraId="62F8A6C4" w14:textId="4AA51A4A" w:rsidR="00FB46DC" w:rsidRPr="009C3DB2" w:rsidRDefault="00FB46DC" w:rsidP="00FB46DC">
            <w:pPr>
              <w:pStyle w:val="Akapitzlist"/>
              <w:spacing w:before="60" w:afterLines="60" w:after="144" w:line="276" w:lineRule="auto"/>
              <w:ind w:right="238"/>
              <w:jc w:val="both"/>
              <w:rPr>
                <w:rFonts w:cs="Arial"/>
                <w:szCs w:val="20"/>
              </w:rPr>
            </w:pPr>
            <w:r w:rsidRPr="00A70C6E">
              <w:rPr>
                <w:rFonts w:cs="Arial"/>
                <w:szCs w:val="20"/>
              </w:rPr>
              <w:t>Stopień ryzyka: średni</w:t>
            </w:r>
          </w:p>
        </w:tc>
      </w:tr>
      <w:tr w:rsidR="00FB46DC" w:rsidRPr="00A70C6E" w14:paraId="1F45AACA" w14:textId="77777777" w:rsidTr="3004B5B3">
        <w:trPr>
          <w:trHeight w:val="20"/>
        </w:trPr>
        <w:tc>
          <w:tcPr>
            <w:tcW w:w="859" w:type="pct"/>
            <w:shd w:val="clear" w:color="auto" w:fill="FFFFFF" w:themeFill="background1"/>
          </w:tcPr>
          <w:p w14:paraId="61BA2A9D" w14:textId="3747A429" w:rsidR="00FB46DC" w:rsidRPr="00A70C6E" w:rsidRDefault="00FB46DC" w:rsidP="00FB46DC">
            <w:pPr>
              <w:pStyle w:val="Inne0"/>
              <w:spacing w:line="276" w:lineRule="auto"/>
              <w:rPr>
                <w:rFonts w:ascii="Arial" w:hAnsi="Arial" w:cs="Arial"/>
                <w:b/>
                <w:smallCaps/>
                <w:sz w:val="20"/>
                <w:szCs w:val="20"/>
              </w:rPr>
            </w:pPr>
            <w:r>
              <w:rPr>
                <w:rFonts w:ascii="Arial" w:hAnsi="Arial" w:cs="Arial"/>
                <w:b/>
                <w:smallCaps/>
                <w:sz w:val="20"/>
                <w:szCs w:val="20"/>
              </w:rPr>
              <w:t>9</w:t>
            </w:r>
            <w:r w:rsidRPr="00A70C6E">
              <w:rPr>
                <w:rFonts w:ascii="Arial" w:hAnsi="Arial" w:cs="Arial"/>
                <w:b/>
                <w:smallCaps/>
                <w:sz w:val="20"/>
                <w:szCs w:val="20"/>
              </w:rPr>
              <w:t xml:space="preserve">. Łączna kwota (krajowa i unijna) oczekiwanej na tej </w:t>
            </w:r>
            <w:r w:rsidRPr="00A70C6E">
              <w:rPr>
                <w:rFonts w:ascii="Arial" w:hAnsi="Arial" w:cs="Arial"/>
                <w:b/>
                <w:smallCaps/>
                <w:sz w:val="20"/>
                <w:szCs w:val="20"/>
              </w:rPr>
              <w:lastRenderedPageBreak/>
              <w:t>podstawie refundacji od Komisji</w:t>
            </w:r>
          </w:p>
        </w:tc>
        <w:tc>
          <w:tcPr>
            <w:tcW w:w="4141" w:type="pct"/>
            <w:shd w:val="clear" w:color="auto" w:fill="FFFFFF" w:themeFill="background1"/>
          </w:tcPr>
          <w:p w14:paraId="5896764F" w14:textId="247593D2" w:rsidR="00FB46DC" w:rsidRPr="00A70C6E" w:rsidRDefault="00FB46DC" w:rsidP="00FB46DC">
            <w:pPr>
              <w:spacing w:before="60" w:afterLines="60" w:after="144" w:line="276" w:lineRule="auto"/>
              <w:ind w:left="275" w:right="237"/>
              <w:jc w:val="both"/>
              <w:rPr>
                <w:rFonts w:cs="Arial"/>
                <w:szCs w:val="20"/>
              </w:rPr>
            </w:pPr>
            <w:r w:rsidRPr="00A70C6E">
              <w:rPr>
                <w:rFonts w:cs="Arial"/>
                <w:szCs w:val="20"/>
              </w:rPr>
              <w:lastRenderedPageBreak/>
              <w:t xml:space="preserve">Refundacja Komisji Europejskiej dla wydatków rozliczanych w oparciu o Metodykę będzie wynosić w </w:t>
            </w:r>
            <w:r w:rsidRPr="00586300">
              <w:rPr>
                <w:rFonts w:cs="Arial"/>
                <w:szCs w:val="20"/>
              </w:rPr>
              <w:t xml:space="preserve">przybliżeniu </w:t>
            </w:r>
            <w:r w:rsidRPr="00754142">
              <w:rPr>
                <w:rFonts w:cs="Arial"/>
                <w:szCs w:val="20"/>
              </w:rPr>
              <w:t>2,</w:t>
            </w:r>
            <w:r>
              <w:rPr>
                <w:rFonts w:cs="Arial"/>
                <w:szCs w:val="20"/>
              </w:rPr>
              <w:t>4</w:t>
            </w:r>
            <w:r w:rsidRPr="00586300">
              <w:rPr>
                <w:rFonts w:cs="Arial"/>
                <w:szCs w:val="20"/>
              </w:rPr>
              <w:t xml:space="preserve"> mln PLN</w:t>
            </w:r>
            <w:r>
              <w:rPr>
                <w:rFonts w:cs="Arial"/>
                <w:szCs w:val="20"/>
              </w:rPr>
              <w:t>.</w:t>
            </w:r>
          </w:p>
        </w:tc>
      </w:tr>
    </w:tbl>
    <w:p w14:paraId="4EB5C50C" w14:textId="77777777" w:rsidR="00D83E13" w:rsidRPr="00A70C6E" w:rsidRDefault="00D83E13" w:rsidP="007E08CA">
      <w:pPr>
        <w:spacing w:line="276" w:lineRule="auto"/>
        <w:rPr>
          <w:rFonts w:cs="Arial"/>
          <w:b/>
          <w:smallCaps/>
          <w:szCs w:val="20"/>
        </w:rPr>
        <w:sectPr w:rsidR="00D83E13" w:rsidRPr="00A70C6E" w:rsidSect="00F50425">
          <w:footerReference w:type="default" r:id="rId11"/>
          <w:headerReference w:type="first" r:id="rId12"/>
          <w:type w:val="continuous"/>
          <w:pgSz w:w="16838" w:h="11906" w:orient="landscape" w:code="9"/>
          <w:pgMar w:top="1418" w:right="1418" w:bottom="709" w:left="1418" w:header="709" w:footer="709" w:gutter="0"/>
          <w:cols w:space="708"/>
          <w:titlePg/>
          <w:docGrid w:linePitch="360"/>
        </w:sectPr>
      </w:pPr>
    </w:p>
    <w:p w14:paraId="2E554A02" w14:textId="77777777" w:rsidR="007160B8" w:rsidRPr="00A70C6E" w:rsidRDefault="004B630B" w:rsidP="007E08CA">
      <w:pPr>
        <w:spacing w:before="120" w:after="120" w:line="276" w:lineRule="auto"/>
        <w:jc w:val="both"/>
        <w:rPr>
          <w:rFonts w:cs="Arial"/>
          <w:b/>
          <w:smallCaps/>
          <w:szCs w:val="20"/>
        </w:rPr>
      </w:pPr>
      <w:r w:rsidRPr="00A70C6E">
        <w:rPr>
          <w:rFonts w:cs="Arial"/>
          <w:b/>
          <w:smallCaps/>
          <w:szCs w:val="20"/>
        </w:rPr>
        <w:lastRenderedPageBreak/>
        <w:t>C. Obliczanie standardowych stawek jednostkowych, kwot ryczałtowych lub stawek ryczałtowych</w:t>
      </w:r>
    </w:p>
    <w:p w14:paraId="1904F0BE" w14:textId="77777777" w:rsidR="00D56E15" w:rsidRPr="00A70C6E" w:rsidRDefault="00D56E15" w:rsidP="007E08CA">
      <w:pPr>
        <w:spacing w:before="120" w:after="120" w:line="276" w:lineRule="auto"/>
        <w:jc w:val="both"/>
        <w:rPr>
          <w:rFonts w:cs="Arial"/>
          <w:b/>
          <w:smallCaps/>
          <w:szCs w:val="20"/>
        </w:rPr>
      </w:pPr>
    </w:p>
    <w:p w14:paraId="6D945D79" w14:textId="77777777" w:rsidR="00DB1C4E" w:rsidRPr="00A70C6E" w:rsidRDefault="00482735" w:rsidP="007E08CA">
      <w:pPr>
        <w:pStyle w:val="Akapitzlist"/>
        <w:numPr>
          <w:ilvl w:val="0"/>
          <w:numId w:val="26"/>
        </w:numPr>
        <w:spacing w:before="120" w:after="120" w:line="276" w:lineRule="auto"/>
        <w:jc w:val="both"/>
        <w:rPr>
          <w:rFonts w:cs="Arial"/>
          <w:b/>
          <w:smallCaps/>
          <w:szCs w:val="20"/>
        </w:rPr>
      </w:pPr>
      <w:r w:rsidRPr="00A70C6E">
        <w:rPr>
          <w:rFonts w:cs="Arial"/>
          <w:b/>
          <w:smallCaps/>
          <w:szCs w:val="20"/>
        </w:rPr>
        <w:t>Źródło danych wykorzystanych do obliczenia standardowych stawek jednostkowych, kwot ryczałtowych lub stawek ryczałtowych (kto przygotował, zgromadził i zapisał dane, miejsce przechowywania danych, daty graniczne, walidacja itd.):</w:t>
      </w:r>
    </w:p>
    <w:p w14:paraId="6FD2CA7D" w14:textId="77777777" w:rsidR="006F3228" w:rsidRPr="00A70C6E" w:rsidRDefault="006F3228" w:rsidP="007E08CA">
      <w:pPr>
        <w:pStyle w:val="Akapitzlist"/>
        <w:spacing w:before="120" w:after="120" w:line="276" w:lineRule="auto"/>
        <w:jc w:val="both"/>
        <w:rPr>
          <w:rFonts w:cs="Arial"/>
          <w:b/>
          <w:smallCaps/>
          <w:szCs w:val="20"/>
        </w:rPr>
      </w:pPr>
    </w:p>
    <w:p w14:paraId="34079908" w14:textId="77777777" w:rsidR="00383E55" w:rsidRPr="00A70C6E" w:rsidRDefault="00383E55" w:rsidP="00321FB3">
      <w:pPr>
        <w:spacing w:before="60" w:after="60" w:line="276" w:lineRule="auto"/>
        <w:ind w:right="232"/>
        <w:jc w:val="both"/>
        <w:rPr>
          <w:rFonts w:cs="Arial"/>
          <w:bCs/>
          <w:szCs w:val="20"/>
        </w:rPr>
      </w:pPr>
      <w:bookmarkStart w:id="3" w:name="_Hlk141947597"/>
    </w:p>
    <w:p w14:paraId="54195108" w14:textId="66B47592" w:rsidR="00E3300A" w:rsidRPr="00A70C6E" w:rsidRDefault="00E3300A" w:rsidP="00E3300A">
      <w:pPr>
        <w:pStyle w:val="Akapitzlist"/>
        <w:numPr>
          <w:ilvl w:val="0"/>
          <w:numId w:val="43"/>
        </w:numPr>
        <w:spacing w:before="60" w:after="60" w:line="276" w:lineRule="auto"/>
        <w:ind w:right="232"/>
        <w:rPr>
          <w:rFonts w:cs="Arial"/>
          <w:b/>
          <w:szCs w:val="20"/>
        </w:rPr>
      </w:pPr>
      <w:r w:rsidRPr="00A70C6E">
        <w:rPr>
          <w:rFonts w:cs="Arial"/>
          <w:b/>
          <w:bCs/>
          <w:szCs w:val="20"/>
        </w:rPr>
        <w:t>Stawka jednostkowa na podnoszenie przez partnerów KM kompetencji związanych z ich uczestnictwem w KM</w:t>
      </w:r>
      <w:r w:rsidR="00F434B2">
        <w:rPr>
          <w:rFonts w:cs="Arial"/>
          <w:b/>
          <w:bCs/>
          <w:szCs w:val="20"/>
        </w:rPr>
        <w:t xml:space="preserve"> FEPW</w:t>
      </w:r>
    </w:p>
    <w:p w14:paraId="6A4682BC" w14:textId="12C2D455" w:rsidR="00E3300A" w:rsidRPr="00A70C6E" w:rsidRDefault="00E3300A" w:rsidP="00E3300A">
      <w:pPr>
        <w:spacing w:before="60" w:after="60" w:line="276" w:lineRule="auto"/>
        <w:ind w:right="232"/>
        <w:jc w:val="both"/>
        <w:rPr>
          <w:rFonts w:cs="Arial"/>
          <w:bCs/>
          <w:szCs w:val="20"/>
        </w:rPr>
      </w:pPr>
      <w:r w:rsidRPr="00701458">
        <w:rPr>
          <w:rFonts w:cs="Arial"/>
          <w:bCs/>
          <w:szCs w:val="20"/>
        </w:rPr>
        <w:t>Średnia cena godziny szkolenia została ustalona na podstawie danych źródłowych pochodzących z</w:t>
      </w:r>
      <w:r w:rsidR="00D52D70">
        <w:rPr>
          <w:rFonts w:cs="Arial"/>
          <w:bCs/>
          <w:szCs w:val="20"/>
        </w:rPr>
        <w:t xml:space="preserve"> Bazy Usług Rozwojowych</w:t>
      </w:r>
      <w:r w:rsidR="00C52A85">
        <w:rPr>
          <w:rFonts w:cs="Arial"/>
          <w:bCs/>
          <w:szCs w:val="20"/>
        </w:rPr>
        <w:t xml:space="preserve"> (BUR)</w:t>
      </w:r>
      <w:r w:rsidR="00D52D70">
        <w:rPr>
          <w:rFonts w:cs="Arial"/>
          <w:bCs/>
          <w:szCs w:val="20"/>
        </w:rPr>
        <w:t>(</w:t>
      </w:r>
      <w:r w:rsidRPr="00701458">
        <w:rPr>
          <w:rFonts w:cs="Arial"/>
          <w:bCs/>
          <w:szCs w:val="20"/>
        </w:rPr>
        <w:t>https://uslugirozwojowe.parp.gov.pl/wyszukiwarka/porownywarka</w:t>
      </w:r>
      <w:r w:rsidR="006720F6">
        <w:rPr>
          <w:rFonts w:cs="Arial"/>
          <w:bCs/>
          <w:szCs w:val="20"/>
        </w:rPr>
        <w:t>)</w:t>
      </w:r>
      <w:r w:rsidRPr="00701458">
        <w:rPr>
          <w:rFonts w:cs="Arial"/>
          <w:bCs/>
          <w:szCs w:val="20"/>
        </w:rPr>
        <w:t xml:space="preserve"> </w:t>
      </w:r>
      <w:r w:rsidRPr="00894407">
        <w:rPr>
          <w:rFonts w:cs="Arial"/>
          <w:bCs/>
          <w:szCs w:val="20"/>
        </w:rPr>
        <w:t>oraz raport</w:t>
      </w:r>
      <w:r w:rsidR="00894407">
        <w:rPr>
          <w:rFonts w:cs="Arial"/>
          <w:bCs/>
          <w:szCs w:val="20"/>
        </w:rPr>
        <w:t>u</w:t>
      </w:r>
      <w:r w:rsidRPr="00894407">
        <w:rPr>
          <w:rFonts w:cs="Arial"/>
          <w:bCs/>
          <w:szCs w:val="20"/>
        </w:rPr>
        <w:t xml:space="preserve"> pt. </w:t>
      </w:r>
      <w:hyperlink r:id="rId13" w:history="1">
        <w:r w:rsidRPr="005C22B1">
          <w:rPr>
            <w:rStyle w:val="Hipercze"/>
            <w:rFonts w:cs="Arial"/>
            <w:bCs/>
            <w:szCs w:val="20"/>
          </w:rPr>
          <w:t>"Badanie cen rynkowych usług rozwojowych"</w:t>
        </w:r>
      </w:hyperlink>
      <w:r w:rsidRPr="00894407">
        <w:rPr>
          <w:rFonts w:cs="Arial"/>
          <w:bCs/>
          <w:szCs w:val="20"/>
        </w:rPr>
        <w:t xml:space="preserve">, wykonanego przez firmę DANAE na zlecenie PARP, luty 2022. </w:t>
      </w:r>
      <w:r w:rsidRPr="00006AA2">
        <w:rPr>
          <w:rFonts w:cs="Arial"/>
          <w:bCs/>
          <w:szCs w:val="20"/>
        </w:rPr>
        <w:t>Ogólny zakres tematyki szkoleń jest ujęty w załączniku</w:t>
      </w:r>
      <w:r w:rsidR="00894407">
        <w:rPr>
          <w:rFonts w:cs="Arial"/>
          <w:bCs/>
          <w:szCs w:val="20"/>
        </w:rPr>
        <w:t xml:space="preserve"> nr 1 w zakładce </w:t>
      </w:r>
      <w:r w:rsidR="00894407" w:rsidRPr="00894407">
        <w:rPr>
          <w:rFonts w:cs="Arial"/>
          <w:bCs/>
          <w:i/>
          <w:iCs/>
          <w:szCs w:val="20"/>
        </w:rPr>
        <w:t>I.</w:t>
      </w:r>
      <w:r w:rsidR="00894407">
        <w:rPr>
          <w:rFonts w:cs="Arial"/>
          <w:bCs/>
          <w:i/>
          <w:iCs/>
          <w:szCs w:val="20"/>
        </w:rPr>
        <w:t xml:space="preserve"> </w:t>
      </w:r>
      <w:r w:rsidR="00894407" w:rsidRPr="00894407">
        <w:rPr>
          <w:rFonts w:cs="Arial"/>
          <w:bCs/>
          <w:i/>
          <w:iCs/>
          <w:szCs w:val="20"/>
        </w:rPr>
        <w:t>Szkolenia</w:t>
      </w:r>
      <w:r w:rsidR="00894407">
        <w:rPr>
          <w:rFonts w:cs="Arial"/>
          <w:bCs/>
          <w:i/>
          <w:iCs/>
          <w:szCs w:val="20"/>
        </w:rPr>
        <w:t xml:space="preserve">, </w:t>
      </w:r>
      <w:r w:rsidR="00894407" w:rsidRPr="00894407">
        <w:rPr>
          <w:rFonts w:cs="Arial"/>
          <w:bCs/>
          <w:szCs w:val="20"/>
        </w:rPr>
        <w:t>który</w:t>
      </w:r>
      <w:r w:rsidRPr="00894407">
        <w:rPr>
          <w:rFonts w:cs="Arial"/>
          <w:bCs/>
          <w:szCs w:val="20"/>
        </w:rPr>
        <w:t xml:space="preserve"> </w:t>
      </w:r>
      <w:r w:rsidRPr="00006AA2">
        <w:rPr>
          <w:rFonts w:cs="Arial"/>
          <w:bCs/>
          <w:szCs w:val="20"/>
        </w:rPr>
        <w:t>zawiera wyliczenia tej stawki. Tematyka została zawężona do obszarów przydatnych dla pełnienia roli partnera w KM. Cena w związku z tym jest adekwatna do rodzajów szkoleń właściwych dla pełnienia funkcji członka KM.  IZ zdecydowała się na uwzględnienie tych danych, gdyż ww. źródła zawierają wiarygodne, rynkowe dane dotyczące cen szkoleń na terenie kraju, zgromadzonych w publicznej wyszukiwarce szkoleń.</w:t>
      </w:r>
      <w:r w:rsidRPr="00A70C6E">
        <w:rPr>
          <w:rFonts w:cs="Arial"/>
          <w:bCs/>
          <w:szCs w:val="20"/>
        </w:rPr>
        <w:t xml:space="preserve"> </w:t>
      </w:r>
    </w:p>
    <w:p w14:paraId="3D121D6A" w14:textId="77777777" w:rsidR="000E330F" w:rsidRDefault="000E330F" w:rsidP="00E3300A">
      <w:pPr>
        <w:pStyle w:val="Akapitzlist"/>
        <w:spacing w:before="60" w:after="60" w:line="276" w:lineRule="auto"/>
        <w:ind w:left="1080" w:right="232"/>
        <w:jc w:val="both"/>
        <w:rPr>
          <w:rFonts w:cs="Arial"/>
          <w:b/>
          <w:bCs/>
          <w:szCs w:val="20"/>
        </w:rPr>
      </w:pPr>
    </w:p>
    <w:p w14:paraId="228692E9" w14:textId="65AD1BD8" w:rsidR="006F3228" w:rsidRPr="00A70C6E" w:rsidRDefault="008E7B53" w:rsidP="00321FB3">
      <w:pPr>
        <w:pStyle w:val="Akapitzlist"/>
        <w:numPr>
          <w:ilvl w:val="0"/>
          <w:numId w:val="43"/>
        </w:numPr>
        <w:spacing w:before="60" w:after="60" w:line="276" w:lineRule="auto"/>
        <w:ind w:right="232"/>
        <w:jc w:val="both"/>
        <w:rPr>
          <w:rFonts w:cs="Arial"/>
          <w:b/>
          <w:bCs/>
          <w:szCs w:val="20"/>
        </w:rPr>
      </w:pPr>
      <w:r w:rsidRPr="00A70C6E">
        <w:rPr>
          <w:rFonts w:cs="Arial"/>
          <w:b/>
          <w:bCs/>
          <w:szCs w:val="20"/>
        </w:rPr>
        <w:t xml:space="preserve">Stawka jednostkowa na przygotowanie do posiedzeń KM </w:t>
      </w:r>
      <w:r w:rsidR="0064335E">
        <w:rPr>
          <w:rFonts w:cs="Arial"/>
          <w:b/>
          <w:bCs/>
          <w:szCs w:val="20"/>
        </w:rPr>
        <w:t>FE</w:t>
      </w:r>
      <w:r w:rsidR="00157EC8">
        <w:rPr>
          <w:rFonts w:cs="Arial"/>
          <w:b/>
          <w:bCs/>
          <w:szCs w:val="20"/>
        </w:rPr>
        <w:t>PW</w:t>
      </w:r>
    </w:p>
    <w:p w14:paraId="12BDA04D" w14:textId="696A1FA2" w:rsidR="000B5EF5" w:rsidRDefault="000B5EF5" w:rsidP="008C6555">
      <w:pPr>
        <w:jc w:val="both"/>
        <w:rPr>
          <w:rFonts w:cs="Arial"/>
          <w:bCs/>
          <w:szCs w:val="20"/>
        </w:rPr>
      </w:pPr>
      <w:r w:rsidRPr="000B5EF5">
        <w:rPr>
          <w:rFonts w:cs="Arial"/>
          <w:bCs/>
          <w:szCs w:val="20"/>
        </w:rPr>
        <w:t xml:space="preserve">Do wyliczenia stawki jednostkowej na przygotowanie do posiedzeń KM, IZ  zastosowała wydatki poniesione przez członków KM PO WER na konsultacje ze środowiskiem, ponieważ IZ  nie posiada danych dotyczących konsultacji ze środowiskiem w ramach FEPW, POPW oraz PO RPW. IZ  zdecydowała się na uwzględnienie tych danych również z uwagi na fakt, że koszty związane z przeprowadzeniem konsultacji ze środowiskiem zawierają te same elementy (tj. koszt wynajęcia sali, cateringu, noclegu, dojazdu czy obsługi technicznej) bez względu na przedmiot konsultacji.  </w:t>
      </w:r>
    </w:p>
    <w:p w14:paraId="353963DE" w14:textId="57587062" w:rsidR="008C6555" w:rsidRPr="008C6555" w:rsidRDefault="008C6555" w:rsidP="008C6555">
      <w:pPr>
        <w:jc w:val="both"/>
        <w:rPr>
          <w:rFonts w:cs="Arial"/>
          <w:bCs/>
          <w:szCs w:val="20"/>
        </w:rPr>
      </w:pPr>
      <w:r w:rsidRPr="008C6555">
        <w:rPr>
          <w:rFonts w:cs="Arial"/>
          <w:bCs/>
          <w:szCs w:val="20"/>
        </w:rPr>
        <w:t>Stawka jednostkowa została wyliczona na podstawie danych historycznych z projektu pomocy technicznej POWER, tj. rozliczonych wydatków dotyczących 24 spotkań konsultacyjnych ze środowiskiem ujętych w przedkładanych przez partnerów Oświadczeń o poniesieniu wydatków na szkolenia, ekspertyzy oraz konsultacje ze środowiskiem przez członka KM PO WER za lata 2016 – 2019. W ww. dokumentach zawarte są całkowite koszty organizacji ww. spotkań, m.in. dotyczące przejazdów, noclegu i organizacji spotkań (wynajem sal</w:t>
      </w:r>
      <w:r w:rsidR="00894407">
        <w:rPr>
          <w:rFonts w:cs="Arial"/>
          <w:bCs/>
          <w:szCs w:val="20"/>
        </w:rPr>
        <w:t>i</w:t>
      </w:r>
      <w:r w:rsidRPr="008C6555">
        <w:rPr>
          <w:rFonts w:cs="Arial"/>
          <w:bCs/>
          <w:szCs w:val="20"/>
        </w:rPr>
        <w:t xml:space="preserve">, catering, etc.). Nie są więc to koszty specyficzne dla danego programu, więc mogą być zastosowane zarówno w przypadku FEPW. Uwzględniając doświadczenia z PO WER przyjęto, że </w:t>
      </w:r>
      <w:r w:rsidR="00894407">
        <w:rPr>
          <w:rFonts w:cs="Arial"/>
          <w:bCs/>
          <w:szCs w:val="20"/>
        </w:rPr>
        <w:t xml:space="preserve">zarówno </w:t>
      </w:r>
      <w:r w:rsidRPr="008C6555">
        <w:rPr>
          <w:rFonts w:cs="Arial"/>
          <w:bCs/>
          <w:szCs w:val="20"/>
        </w:rPr>
        <w:t>w przypadku spotkań organizowanych w formule</w:t>
      </w:r>
      <w:r w:rsidR="00894407">
        <w:rPr>
          <w:rFonts w:cs="Arial"/>
          <w:bCs/>
          <w:szCs w:val="20"/>
        </w:rPr>
        <w:t xml:space="preserve"> stacjonarnej jak i</w:t>
      </w:r>
      <w:r w:rsidRPr="008C6555">
        <w:rPr>
          <w:rFonts w:cs="Arial"/>
          <w:bCs/>
          <w:szCs w:val="20"/>
        </w:rPr>
        <w:t xml:space="preserve"> hybrydowej, w spotkaniu </w:t>
      </w:r>
      <w:r w:rsidR="00894407" w:rsidRPr="008C6555">
        <w:rPr>
          <w:rFonts w:cs="Arial"/>
          <w:bCs/>
          <w:szCs w:val="20"/>
        </w:rPr>
        <w:t xml:space="preserve">stacjonarnie </w:t>
      </w:r>
      <w:r w:rsidRPr="008C6555">
        <w:rPr>
          <w:rFonts w:cs="Arial"/>
          <w:bCs/>
          <w:szCs w:val="20"/>
        </w:rPr>
        <w:t>powinno uczestniczyć minimum 12 osób.</w:t>
      </w:r>
    </w:p>
    <w:p w14:paraId="23977E73" w14:textId="77777777" w:rsidR="008C6555" w:rsidRPr="008C6555" w:rsidRDefault="008C6555" w:rsidP="008C6555">
      <w:pPr>
        <w:jc w:val="both"/>
        <w:rPr>
          <w:rFonts w:cs="Arial"/>
          <w:bCs/>
          <w:szCs w:val="20"/>
        </w:rPr>
      </w:pPr>
      <w:r w:rsidRPr="008C6555">
        <w:rPr>
          <w:rFonts w:cs="Arial"/>
          <w:bCs/>
          <w:szCs w:val="20"/>
        </w:rPr>
        <w:t>Do wyliczeń nie uwzględniono kolejnych lat z uwagi na fakt, że w wyniku pandemii COVID-19 od marca 2020 r. spotkania w formie stacjonarnej nie mogły być organizowane.</w:t>
      </w:r>
    </w:p>
    <w:p w14:paraId="4B598B5F" w14:textId="45449833" w:rsidR="0029705E" w:rsidRDefault="0029705E" w:rsidP="3004B5B3">
      <w:pPr>
        <w:spacing w:before="60" w:after="60" w:line="276" w:lineRule="auto"/>
        <w:ind w:right="232"/>
        <w:jc w:val="both"/>
        <w:rPr>
          <w:rFonts w:cs="Arial"/>
        </w:rPr>
      </w:pPr>
    </w:p>
    <w:p w14:paraId="442A673B" w14:textId="76DC3F95" w:rsidR="00E8688E" w:rsidRPr="00A70C6E" w:rsidRDefault="008E7B53">
      <w:pPr>
        <w:pStyle w:val="Akapitzlist"/>
        <w:numPr>
          <w:ilvl w:val="0"/>
          <w:numId w:val="43"/>
        </w:numPr>
        <w:spacing w:before="60" w:after="60" w:line="276" w:lineRule="auto"/>
        <w:ind w:right="232"/>
        <w:jc w:val="both"/>
        <w:rPr>
          <w:rFonts w:cs="Arial"/>
          <w:b/>
          <w:bCs/>
          <w:szCs w:val="20"/>
        </w:rPr>
      </w:pPr>
      <w:r w:rsidRPr="005B0B21">
        <w:rPr>
          <w:rFonts w:cs="Arial"/>
          <w:b/>
          <w:bCs/>
          <w:szCs w:val="20"/>
        </w:rPr>
        <w:t>Stawka jednostkowa na zewnętrzne wsparcie doradcze dla partnera KM</w:t>
      </w:r>
      <w:r w:rsidR="00DA33F5" w:rsidRPr="005B0B21">
        <w:rPr>
          <w:rFonts w:cs="Arial"/>
          <w:b/>
          <w:bCs/>
          <w:szCs w:val="20"/>
        </w:rPr>
        <w:t xml:space="preserve"> FE</w:t>
      </w:r>
      <w:r w:rsidR="00157EC8">
        <w:rPr>
          <w:rFonts w:cs="Arial"/>
          <w:b/>
          <w:bCs/>
          <w:szCs w:val="20"/>
        </w:rPr>
        <w:t>PW</w:t>
      </w:r>
      <w:r w:rsidR="005B0B21">
        <w:rPr>
          <w:rFonts w:cs="Arial"/>
          <w:b/>
          <w:bCs/>
          <w:szCs w:val="20"/>
        </w:rPr>
        <w:t xml:space="preserve"> </w:t>
      </w:r>
      <w:r w:rsidR="001A198F">
        <w:rPr>
          <w:rFonts w:cs="Arial"/>
          <w:b/>
          <w:bCs/>
          <w:szCs w:val="20"/>
        </w:rPr>
        <w:t xml:space="preserve">  </w:t>
      </w:r>
    </w:p>
    <w:p w14:paraId="496FAED3" w14:textId="7C41F6D5" w:rsidR="00143FCA" w:rsidRDefault="00E8688E" w:rsidP="00143FCA">
      <w:pPr>
        <w:spacing w:before="60" w:after="60" w:line="276" w:lineRule="auto"/>
        <w:ind w:right="232"/>
        <w:jc w:val="both"/>
        <w:rPr>
          <w:rFonts w:cs="Arial"/>
          <w:szCs w:val="20"/>
        </w:rPr>
      </w:pPr>
      <w:r w:rsidRPr="00586300">
        <w:rPr>
          <w:rFonts w:cs="Arial"/>
          <w:szCs w:val="20"/>
        </w:rPr>
        <w:t>Stawka została</w:t>
      </w:r>
      <w:r w:rsidR="00FF7EE3" w:rsidRPr="00586300">
        <w:rPr>
          <w:rFonts w:cs="Arial"/>
          <w:szCs w:val="20"/>
        </w:rPr>
        <w:t xml:space="preserve"> wylicz</w:t>
      </w:r>
      <w:r w:rsidRPr="00586300">
        <w:rPr>
          <w:rFonts w:cs="Arial"/>
          <w:szCs w:val="20"/>
        </w:rPr>
        <w:t>ona</w:t>
      </w:r>
      <w:r w:rsidR="00FF7EE3" w:rsidRPr="00586300">
        <w:rPr>
          <w:rFonts w:cs="Arial"/>
          <w:szCs w:val="20"/>
        </w:rPr>
        <w:t xml:space="preserve"> na podstawie cen usług doradczych w B</w:t>
      </w:r>
      <w:r w:rsidR="001C6FFE">
        <w:rPr>
          <w:rFonts w:cs="Arial"/>
          <w:szCs w:val="20"/>
        </w:rPr>
        <w:t xml:space="preserve">azie </w:t>
      </w:r>
      <w:r w:rsidR="00FF7EE3" w:rsidRPr="00586300">
        <w:rPr>
          <w:rFonts w:cs="Arial"/>
          <w:szCs w:val="20"/>
        </w:rPr>
        <w:t>U</w:t>
      </w:r>
      <w:r w:rsidR="001C6FFE">
        <w:rPr>
          <w:rFonts w:cs="Arial"/>
          <w:szCs w:val="20"/>
        </w:rPr>
        <w:t xml:space="preserve">sług </w:t>
      </w:r>
      <w:r w:rsidR="00FF7EE3" w:rsidRPr="00586300">
        <w:rPr>
          <w:rFonts w:cs="Arial"/>
          <w:szCs w:val="20"/>
        </w:rPr>
        <w:t>R</w:t>
      </w:r>
      <w:r w:rsidR="001C6FFE">
        <w:rPr>
          <w:rFonts w:cs="Arial"/>
          <w:szCs w:val="20"/>
        </w:rPr>
        <w:t>ozwojowych</w:t>
      </w:r>
      <w:r w:rsidR="009E0FA7">
        <w:rPr>
          <w:rFonts w:cs="Arial"/>
          <w:szCs w:val="20"/>
        </w:rPr>
        <w:t xml:space="preserve"> (BUR)</w:t>
      </w:r>
      <w:r w:rsidR="00FF7EE3" w:rsidRPr="00586300">
        <w:rPr>
          <w:rFonts w:cs="Arial"/>
          <w:szCs w:val="20"/>
        </w:rPr>
        <w:t xml:space="preserve"> </w:t>
      </w:r>
      <w:r w:rsidR="00321FB3" w:rsidRPr="00586300">
        <w:rPr>
          <w:rFonts w:cs="Arial"/>
          <w:szCs w:val="20"/>
        </w:rPr>
        <w:t xml:space="preserve">– </w:t>
      </w:r>
      <w:r w:rsidR="00FF7EE3" w:rsidRPr="00586300">
        <w:rPr>
          <w:rFonts w:cs="Arial"/>
          <w:szCs w:val="20"/>
        </w:rPr>
        <w:t xml:space="preserve">koszt za 1 godzinę </w:t>
      </w:r>
      <w:r w:rsidR="00F635E3" w:rsidRPr="00586300">
        <w:rPr>
          <w:rFonts w:cs="Arial"/>
          <w:szCs w:val="20"/>
        </w:rPr>
        <w:t xml:space="preserve">zegarową </w:t>
      </w:r>
      <w:r w:rsidR="00FF7EE3" w:rsidRPr="00586300">
        <w:rPr>
          <w:rFonts w:cs="Arial"/>
          <w:szCs w:val="20"/>
        </w:rPr>
        <w:t xml:space="preserve">wsparcia doradczego. </w:t>
      </w:r>
      <w:r w:rsidR="00FD3EFE" w:rsidRPr="00586300">
        <w:rPr>
          <w:rFonts w:cs="Arial"/>
          <w:szCs w:val="20"/>
        </w:rPr>
        <w:t>Baza danych z BUR</w:t>
      </w:r>
      <w:r w:rsidR="001C6FFE">
        <w:rPr>
          <w:rFonts w:cs="Arial"/>
          <w:szCs w:val="20"/>
        </w:rPr>
        <w:t xml:space="preserve"> została</w:t>
      </w:r>
      <w:r w:rsidR="00FD3EFE" w:rsidRPr="00586300">
        <w:rPr>
          <w:rFonts w:cs="Arial"/>
          <w:szCs w:val="20"/>
        </w:rPr>
        <w:t xml:space="preserve"> pozyskana </w:t>
      </w:r>
      <w:r w:rsidR="001C6FFE">
        <w:rPr>
          <w:rFonts w:cs="Arial"/>
          <w:szCs w:val="20"/>
        </w:rPr>
        <w:t>od</w:t>
      </w:r>
      <w:r w:rsidR="001C6FFE" w:rsidRPr="00586300">
        <w:rPr>
          <w:rFonts w:cs="Arial"/>
          <w:szCs w:val="20"/>
        </w:rPr>
        <w:t xml:space="preserve"> </w:t>
      </w:r>
      <w:r w:rsidR="00FD3EFE" w:rsidRPr="00586300">
        <w:rPr>
          <w:rFonts w:cs="Arial"/>
          <w:szCs w:val="20"/>
        </w:rPr>
        <w:t>PARP</w:t>
      </w:r>
      <w:r w:rsidR="00C807B6">
        <w:rPr>
          <w:rFonts w:cs="Arial"/>
          <w:szCs w:val="20"/>
        </w:rPr>
        <w:t>, a następnie</w:t>
      </w:r>
      <w:r w:rsidR="00FD3EFE" w:rsidRPr="00586300">
        <w:rPr>
          <w:rFonts w:cs="Arial"/>
          <w:szCs w:val="20"/>
        </w:rPr>
        <w:t xml:space="preserve"> </w:t>
      </w:r>
      <w:r w:rsidR="0009307F" w:rsidRPr="00586300">
        <w:rPr>
          <w:rFonts w:cs="Arial"/>
          <w:szCs w:val="20"/>
        </w:rPr>
        <w:t xml:space="preserve">na bazę został nałożony filtr „zrealizowane”. </w:t>
      </w:r>
      <w:r w:rsidR="00D046F6" w:rsidRPr="00180BF1">
        <w:rPr>
          <w:rFonts w:cs="Arial"/>
          <w:szCs w:val="20"/>
        </w:rPr>
        <w:t>Do</w:t>
      </w:r>
      <w:r w:rsidR="0009307F" w:rsidRPr="00180BF1">
        <w:rPr>
          <w:rFonts w:cs="Arial"/>
          <w:szCs w:val="20"/>
        </w:rPr>
        <w:t xml:space="preserve"> wyliczeń wzięto usług</w:t>
      </w:r>
      <w:r w:rsidR="006240A4">
        <w:rPr>
          <w:rFonts w:cs="Arial"/>
          <w:szCs w:val="20"/>
        </w:rPr>
        <w:t>i</w:t>
      </w:r>
      <w:r w:rsidR="0009307F" w:rsidRPr="00180BF1">
        <w:rPr>
          <w:rFonts w:cs="Arial"/>
          <w:szCs w:val="20"/>
        </w:rPr>
        <w:t xml:space="preserve"> doradcz</w:t>
      </w:r>
      <w:r w:rsidR="006240A4">
        <w:rPr>
          <w:rFonts w:cs="Arial"/>
          <w:szCs w:val="20"/>
        </w:rPr>
        <w:t>e</w:t>
      </w:r>
      <w:r w:rsidR="0009307F" w:rsidRPr="00180BF1">
        <w:rPr>
          <w:rFonts w:cs="Arial"/>
          <w:szCs w:val="20"/>
        </w:rPr>
        <w:t xml:space="preserve"> zlecon</w:t>
      </w:r>
      <w:r w:rsidR="006240A4">
        <w:rPr>
          <w:rFonts w:cs="Arial"/>
          <w:szCs w:val="20"/>
        </w:rPr>
        <w:t>e</w:t>
      </w:r>
      <w:r w:rsidR="0009307F" w:rsidRPr="00180BF1">
        <w:rPr>
          <w:rFonts w:cs="Arial"/>
          <w:szCs w:val="20"/>
        </w:rPr>
        <w:t xml:space="preserve"> w </w:t>
      </w:r>
      <w:r w:rsidR="00C807B6">
        <w:rPr>
          <w:rFonts w:cs="Arial"/>
          <w:szCs w:val="20"/>
        </w:rPr>
        <w:t>okresie od 1.01.</w:t>
      </w:r>
      <w:r w:rsidR="0009307F" w:rsidRPr="00180BF1">
        <w:rPr>
          <w:rFonts w:cs="Arial"/>
          <w:szCs w:val="20"/>
        </w:rPr>
        <w:t>2023</w:t>
      </w:r>
      <w:r w:rsidR="00C807B6">
        <w:rPr>
          <w:rFonts w:cs="Arial"/>
          <w:szCs w:val="20"/>
        </w:rPr>
        <w:t xml:space="preserve"> r. do dnia wygenerowania raportu, tj. do 19.02.2024 r.</w:t>
      </w:r>
      <w:r w:rsidR="0009307F" w:rsidRPr="00180BF1">
        <w:rPr>
          <w:rFonts w:cs="Arial"/>
          <w:szCs w:val="20"/>
        </w:rPr>
        <w:t xml:space="preserve"> </w:t>
      </w:r>
      <w:r w:rsidR="006240A4">
        <w:rPr>
          <w:rFonts w:cs="Arial"/>
          <w:szCs w:val="20"/>
        </w:rPr>
        <w:t>Z</w:t>
      </w:r>
      <w:r w:rsidR="006240A4" w:rsidRPr="00555280">
        <w:rPr>
          <w:rFonts w:cs="Arial"/>
          <w:szCs w:val="20"/>
        </w:rPr>
        <w:t xml:space="preserve"> uwagi na tempo wzrostu cen na przestrzeni ostatnich kilkunastu miesięcy oraz utrzymująca się tendencję wzrostu cen, za miarodajne i wiarygodne uznano informacje o cenach </w:t>
      </w:r>
      <w:r w:rsidR="006240A4">
        <w:rPr>
          <w:rFonts w:cs="Arial"/>
          <w:szCs w:val="20"/>
        </w:rPr>
        <w:t>z</w:t>
      </w:r>
      <w:r w:rsidR="006240A4" w:rsidRPr="00555280">
        <w:rPr>
          <w:rFonts w:cs="Arial"/>
          <w:szCs w:val="20"/>
        </w:rPr>
        <w:t xml:space="preserve"> ww. okresu</w:t>
      </w:r>
      <w:r w:rsidR="006240A4">
        <w:rPr>
          <w:rFonts w:cs="Arial"/>
          <w:szCs w:val="20"/>
        </w:rPr>
        <w:t>.</w:t>
      </w:r>
      <w:r w:rsidR="006240A4" w:rsidRPr="00180BF1">
        <w:rPr>
          <w:rFonts w:cs="Arial"/>
          <w:szCs w:val="20"/>
        </w:rPr>
        <w:t xml:space="preserve"> </w:t>
      </w:r>
      <w:r w:rsidR="006240A4">
        <w:rPr>
          <w:rFonts w:cs="Arial"/>
          <w:szCs w:val="20"/>
        </w:rPr>
        <w:t xml:space="preserve">W ten sposób </w:t>
      </w:r>
      <w:r w:rsidR="006240A4">
        <w:rPr>
          <w:rFonts w:cs="Arial"/>
          <w:szCs w:val="20"/>
        </w:rPr>
        <w:lastRenderedPageBreak/>
        <w:t xml:space="preserve">uzyskano 2 422 zrealizowane usługi doradcze </w:t>
      </w:r>
      <w:r w:rsidR="0009307F" w:rsidRPr="00180BF1">
        <w:rPr>
          <w:rFonts w:cs="Arial"/>
          <w:szCs w:val="20"/>
        </w:rPr>
        <w:t>w kategoriach adekwatnych dla zakresu programu</w:t>
      </w:r>
      <w:r w:rsidR="006240A4">
        <w:rPr>
          <w:rFonts w:cs="Arial"/>
          <w:szCs w:val="20"/>
        </w:rPr>
        <w:t xml:space="preserve"> FEPW</w:t>
      </w:r>
      <w:r w:rsidR="00076768">
        <w:rPr>
          <w:rFonts w:cs="Arial"/>
          <w:szCs w:val="20"/>
        </w:rPr>
        <w:t>:</w:t>
      </w:r>
      <w:r w:rsidR="0009307F" w:rsidRPr="00180BF1">
        <w:rPr>
          <w:rFonts w:cs="Arial"/>
          <w:szCs w:val="20"/>
        </w:rPr>
        <w:t xml:space="preserve"> </w:t>
      </w:r>
      <w:r w:rsidR="00C807B6">
        <w:rPr>
          <w:rFonts w:cs="Arial"/>
          <w:szCs w:val="20"/>
        </w:rPr>
        <w:t>ekologia i rolnictwo – 6 usług</w:t>
      </w:r>
      <w:r w:rsidR="00076768">
        <w:rPr>
          <w:rFonts w:cs="Arial"/>
          <w:szCs w:val="20"/>
        </w:rPr>
        <w:t xml:space="preserve"> (podkategoria: ochrona środowiska)</w:t>
      </w:r>
      <w:r w:rsidR="00701458" w:rsidRPr="00180BF1">
        <w:rPr>
          <w:rFonts w:cs="Arial"/>
          <w:szCs w:val="20"/>
        </w:rPr>
        <w:t xml:space="preserve">, </w:t>
      </w:r>
      <w:r w:rsidR="00C807B6" w:rsidRPr="00180BF1">
        <w:rPr>
          <w:rFonts w:cs="Arial"/>
          <w:szCs w:val="20"/>
        </w:rPr>
        <w:t>finanse i bankowość</w:t>
      </w:r>
      <w:r w:rsidR="00C807B6">
        <w:rPr>
          <w:rFonts w:cs="Arial"/>
          <w:szCs w:val="20"/>
        </w:rPr>
        <w:t xml:space="preserve"> – 12 usług</w:t>
      </w:r>
      <w:r w:rsidR="00076768">
        <w:rPr>
          <w:rFonts w:cs="Arial"/>
          <w:szCs w:val="20"/>
        </w:rPr>
        <w:t xml:space="preserve"> (podkategorie: finanse i doradztwo finansowe, inwestycje, rachunkowość/księgowość)</w:t>
      </w:r>
      <w:r w:rsidR="00C807B6">
        <w:rPr>
          <w:rFonts w:cs="Arial"/>
          <w:szCs w:val="20"/>
        </w:rPr>
        <w:t>,</w:t>
      </w:r>
      <w:r w:rsidR="00C807B6" w:rsidRPr="00180BF1">
        <w:rPr>
          <w:rFonts w:cs="Arial"/>
          <w:szCs w:val="20"/>
        </w:rPr>
        <w:t xml:space="preserve"> informatyka i telekomunikacja</w:t>
      </w:r>
      <w:r w:rsidR="00C807B6">
        <w:rPr>
          <w:rFonts w:cs="Arial"/>
          <w:szCs w:val="20"/>
        </w:rPr>
        <w:t xml:space="preserve"> – 45 usług</w:t>
      </w:r>
      <w:r w:rsidR="00076768">
        <w:rPr>
          <w:rFonts w:cs="Arial"/>
          <w:szCs w:val="20"/>
        </w:rPr>
        <w:t xml:space="preserve"> (podkategorie: aplikacje biznesowe, obsługa komputera, telekomunikacja)</w:t>
      </w:r>
      <w:r w:rsidR="00C807B6">
        <w:rPr>
          <w:rFonts w:cs="Arial"/>
          <w:szCs w:val="20"/>
        </w:rPr>
        <w:t>,</w:t>
      </w:r>
      <w:r w:rsidR="00C807B6" w:rsidRPr="00180BF1">
        <w:rPr>
          <w:rFonts w:cs="Arial"/>
          <w:szCs w:val="20"/>
        </w:rPr>
        <w:t xml:space="preserve"> </w:t>
      </w:r>
      <w:r w:rsidR="006E0BE7" w:rsidRPr="00180BF1">
        <w:rPr>
          <w:rFonts w:cs="Arial"/>
          <w:szCs w:val="20"/>
        </w:rPr>
        <w:t>p</w:t>
      </w:r>
      <w:r w:rsidR="00C95853" w:rsidRPr="00180BF1">
        <w:rPr>
          <w:rFonts w:cs="Arial"/>
          <w:szCs w:val="20"/>
        </w:rPr>
        <w:t xml:space="preserve">rawo i administracja </w:t>
      </w:r>
      <w:r w:rsidR="0009307F" w:rsidRPr="00180BF1">
        <w:rPr>
          <w:rFonts w:cs="Arial"/>
          <w:szCs w:val="20"/>
        </w:rPr>
        <w:t>–</w:t>
      </w:r>
      <w:r w:rsidR="006E0BE7" w:rsidRPr="00180BF1">
        <w:rPr>
          <w:rFonts w:cs="Arial"/>
          <w:szCs w:val="20"/>
        </w:rPr>
        <w:t xml:space="preserve"> </w:t>
      </w:r>
      <w:r w:rsidR="00C807B6">
        <w:rPr>
          <w:rFonts w:cs="Arial"/>
          <w:szCs w:val="20"/>
        </w:rPr>
        <w:t>4</w:t>
      </w:r>
      <w:r w:rsidR="0009307F" w:rsidRPr="00180BF1">
        <w:rPr>
          <w:rFonts w:cs="Arial"/>
          <w:szCs w:val="20"/>
        </w:rPr>
        <w:t xml:space="preserve">8 </w:t>
      </w:r>
      <w:r w:rsidR="00C95853" w:rsidRPr="00180BF1">
        <w:rPr>
          <w:rFonts w:cs="Arial"/>
          <w:szCs w:val="20"/>
        </w:rPr>
        <w:t>usług</w:t>
      </w:r>
      <w:r w:rsidR="00076768">
        <w:rPr>
          <w:rFonts w:cs="Arial"/>
          <w:szCs w:val="20"/>
        </w:rPr>
        <w:t xml:space="preserve"> (podkategorie: ochrona informacji niejawnych, prawo administracyjne, prawo handlowe, prawo ogólne, prawo pozostałe, organizacje pozarządowe, zamówienia publiczne)</w:t>
      </w:r>
      <w:r w:rsidR="00C95853" w:rsidRPr="00180BF1">
        <w:rPr>
          <w:rFonts w:cs="Arial"/>
          <w:szCs w:val="20"/>
        </w:rPr>
        <w:t>,</w:t>
      </w:r>
      <w:r w:rsidR="00701458" w:rsidRPr="00180BF1">
        <w:rPr>
          <w:rFonts w:cs="Arial"/>
          <w:szCs w:val="20"/>
        </w:rPr>
        <w:t xml:space="preserve"> </w:t>
      </w:r>
      <w:r w:rsidR="00C807B6">
        <w:rPr>
          <w:rFonts w:cs="Arial"/>
          <w:szCs w:val="20"/>
        </w:rPr>
        <w:t xml:space="preserve">biznes </w:t>
      </w:r>
      <w:r w:rsidR="00143FCA">
        <w:rPr>
          <w:rFonts w:cs="Arial"/>
          <w:szCs w:val="20"/>
        </w:rPr>
        <w:t>–</w:t>
      </w:r>
      <w:r w:rsidR="00C807B6">
        <w:rPr>
          <w:rFonts w:cs="Arial"/>
          <w:szCs w:val="20"/>
        </w:rPr>
        <w:t xml:space="preserve"> </w:t>
      </w:r>
      <w:r w:rsidR="00143FCA">
        <w:rPr>
          <w:rFonts w:cs="Arial"/>
          <w:szCs w:val="20"/>
        </w:rPr>
        <w:t>2254 usług</w:t>
      </w:r>
      <w:r w:rsidR="00076768">
        <w:rPr>
          <w:rFonts w:cs="Arial"/>
          <w:szCs w:val="20"/>
        </w:rPr>
        <w:t xml:space="preserve"> (podkategorie: negocjacje, zarządzanie zasobami ludzkimi, zarządzanie przedsiębiorstwem)</w:t>
      </w:r>
      <w:r w:rsidR="00701458" w:rsidRPr="00180BF1">
        <w:rPr>
          <w:rFonts w:cs="Arial"/>
          <w:szCs w:val="20"/>
        </w:rPr>
        <w:t>,</w:t>
      </w:r>
      <w:r w:rsidR="00C95853" w:rsidRPr="00180BF1">
        <w:rPr>
          <w:rFonts w:cs="Arial"/>
          <w:szCs w:val="20"/>
        </w:rPr>
        <w:t xml:space="preserve"> techniczne </w:t>
      </w:r>
      <w:r w:rsidR="00143FCA">
        <w:rPr>
          <w:rFonts w:cs="Arial"/>
          <w:szCs w:val="20"/>
        </w:rPr>
        <w:t>–</w:t>
      </w:r>
      <w:r w:rsidR="006E0BE7" w:rsidRPr="00180BF1">
        <w:rPr>
          <w:rFonts w:cs="Arial"/>
          <w:szCs w:val="20"/>
        </w:rPr>
        <w:t xml:space="preserve"> </w:t>
      </w:r>
      <w:r w:rsidR="0009307F" w:rsidRPr="00180BF1">
        <w:rPr>
          <w:rFonts w:cs="Arial"/>
          <w:szCs w:val="20"/>
        </w:rPr>
        <w:t>4</w:t>
      </w:r>
      <w:r w:rsidR="00143FCA">
        <w:rPr>
          <w:rFonts w:cs="Arial"/>
          <w:szCs w:val="20"/>
        </w:rPr>
        <w:t>9 usług</w:t>
      </w:r>
      <w:r w:rsidR="00EE5D57">
        <w:rPr>
          <w:rFonts w:cs="Arial"/>
          <w:szCs w:val="20"/>
        </w:rPr>
        <w:t xml:space="preserve"> (podkategorie: automatyka i robotyka, budownictwo i projektowanie, mechanika i mechatronika</w:t>
      </w:r>
      <w:r w:rsidR="006C6511">
        <w:rPr>
          <w:rFonts w:cs="Arial"/>
          <w:szCs w:val="20"/>
        </w:rPr>
        <w:t>)</w:t>
      </w:r>
      <w:r w:rsidR="00C95853" w:rsidRPr="00180BF1">
        <w:rPr>
          <w:rFonts w:cs="Arial"/>
          <w:szCs w:val="20"/>
        </w:rPr>
        <w:t xml:space="preserve">, </w:t>
      </w:r>
      <w:r w:rsidR="00701458" w:rsidRPr="00180BF1">
        <w:rPr>
          <w:rFonts w:cs="Arial"/>
          <w:szCs w:val="20"/>
        </w:rPr>
        <w:t>inne</w:t>
      </w:r>
      <w:r w:rsidR="00143FCA">
        <w:rPr>
          <w:rFonts w:cs="Arial"/>
          <w:szCs w:val="20"/>
        </w:rPr>
        <w:t xml:space="preserve"> – 8 usług</w:t>
      </w:r>
      <w:r w:rsidR="00EE5D57">
        <w:rPr>
          <w:rFonts w:cs="Arial"/>
          <w:szCs w:val="20"/>
        </w:rPr>
        <w:t xml:space="preserve"> (</w:t>
      </w:r>
      <w:r w:rsidR="00F646B5">
        <w:rPr>
          <w:rFonts w:cs="Arial"/>
          <w:szCs w:val="20"/>
        </w:rPr>
        <w:t xml:space="preserve">podkategoria: </w:t>
      </w:r>
      <w:r w:rsidR="00EE5D57">
        <w:rPr>
          <w:rFonts w:cs="Arial"/>
          <w:szCs w:val="20"/>
        </w:rPr>
        <w:t>turystyka i hotelarstwo</w:t>
      </w:r>
      <w:r w:rsidR="00C95853" w:rsidRPr="00180BF1">
        <w:rPr>
          <w:rFonts w:cs="Arial"/>
          <w:szCs w:val="20"/>
        </w:rPr>
        <w:t>)</w:t>
      </w:r>
      <w:r w:rsidR="00FD3EFE" w:rsidRPr="00180BF1">
        <w:rPr>
          <w:rFonts w:cs="Arial"/>
          <w:szCs w:val="20"/>
        </w:rPr>
        <w:t>.</w:t>
      </w:r>
      <w:r w:rsidR="00FD3EFE" w:rsidRPr="00C97704">
        <w:rPr>
          <w:rFonts w:cs="Arial"/>
          <w:szCs w:val="20"/>
        </w:rPr>
        <w:t xml:space="preserve"> </w:t>
      </w:r>
      <w:r w:rsidR="00143FCA" w:rsidRPr="00143FCA">
        <w:rPr>
          <w:rFonts w:cs="Arial"/>
          <w:szCs w:val="20"/>
        </w:rPr>
        <w:t xml:space="preserve">Średnia cena 1h usługi doradczej brutto wyniosła  </w:t>
      </w:r>
      <w:r w:rsidR="00143FCA">
        <w:rPr>
          <w:rFonts w:cs="Arial"/>
          <w:szCs w:val="20"/>
        </w:rPr>
        <w:t>616,50 PLN</w:t>
      </w:r>
      <w:r w:rsidR="00143FCA" w:rsidRPr="00143FCA">
        <w:rPr>
          <w:rFonts w:cs="Arial"/>
          <w:szCs w:val="20"/>
        </w:rPr>
        <w:t xml:space="preserve"> (co zaokrąglono do 6</w:t>
      </w:r>
      <w:r w:rsidR="00143FCA">
        <w:rPr>
          <w:rFonts w:cs="Arial"/>
          <w:szCs w:val="20"/>
        </w:rPr>
        <w:t>16</w:t>
      </w:r>
      <w:r w:rsidR="00143FCA" w:rsidRPr="00143FCA">
        <w:rPr>
          <w:rFonts w:cs="Arial"/>
          <w:szCs w:val="20"/>
        </w:rPr>
        <w:t xml:space="preserve"> PLN). </w:t>
      </w:r>
      <w:r w:rsidR="00143FCA">
        <w:rPr>
          <w:rFonts w:cs="Arial"/>
          <w:szCs w:val="20"/>
        </w:rPr>
        <w:t xml:space="preserve">Szczegółowe dane oraz wyliczenia znajdują się w załączniku nr 1 w zakładce </w:t>
      </w:r>
      <w:r w:rsidR="00143FCA" w:rsidRPr="00143FCA">
        <w:rPr>
          <w:rFonts w:cs="Arial"/>
          <w:i/>
          <w:iCs/>
          <w:szCs w:val="20"/>
        </w:rPr>
        <w:t>III. Wsparcie doradcze</w:t>
      </w:r>
      <w:r w:rsidR="00143FCA">
        <w:rPr>
          <w:rFonts w:cs="Arial"/>
          <w:szCs w:val="20"/>
        </w:rPr>
        <w:t xml:space="preserve"> oraz załączniku nr 3. </w:t>
      </w:r>
    </w:p>
    <w:p w14:paraId="7789D413" w14:textId="274C6F3B" w:rsidR="005C22B1" w:rsidRPr="005C22B1" w:rsidRDefault="00143FCA" w:rsidP="005C22B1">
      <w:pPr>
        <w:spacing w:before="60" w:after="60" w:line="276" w:lineRule="auto"/>
        <w:ind w:right="232"/>
        <w:jc w:val="both"/>
        <w:rPr>
          <w:rFonts w:cs="Arial"/>
          <w:szCs w:val="20"/>
        </w:rPr>
      </w:pPr>
      <w:r w:rsidRPr="00143FCA">
        <w:rPr>
          <w:rFonts w:cs="Arial"/>
          <w:szCs w:val="20"/>
        </w:rPr>
        <w:t>IZ zdecydowała się na uwzględnienie tych danych</w:t>
      </w:r>
      <w:r>
        <w:rPr>
          <w:rFonts w:cs="Arial"/>
          <w:szCs w:val="20"/>
        </w:rPr>
        <w:t>,</w:t>
      </w:r>
      <w:r w:rsidRPr="00143FCA">
        <w:rPr>
          <w:rFonts w:cs="Arial"/>
          <w:szCs w:val="20"/>
        </w:rPr>
        <w:t xml:space="preserve"> ponieważ BUR zawiera wiarygodne, zweryfikowane, zbiorcze dane o cenach usługi wsparcia doradczego.</w:t>
      </w:r>
      <w:r w:rsidR="00555280" w:rsidRPr="00555280">
        <w:t xml:space="preserve"> </w:t>
      </w:r>
    </w:p>
    <w:bookmarkEnd w:id="3"/>
    <w:p w14:paraId="555928C8" w14:textId="77777777" w:rsidR="00BE11EA" w:rsidRPr="00A70C6E" w:rsidRDefault="00BE11EA" w:rsidP="00754142">
      <w:pPr>
        <w:spacing w:before="60" w:after="60" w:line="240" w:lineRule="auto"/>
        <w:ind w:right="232"/>
        <w:jc w:val="both"/>
        <w:rPr>
          <w:rFonts w:cs="Arial"/>
        </w:rPr>
      </w:pPr>
    </w:p>
    <w:p w14:paraId="646465FB" w14:textId="3999E747" w:rsidR="00B97551" w:rsidRPr="005F7602" w:rsidRDefault="00AD1281" w:rsidP="005F7602">
      <w:pPr>
        <w:pStyle w:val="Akapitzlist"/>
        <w:numPr>
          <w:ilvl w:val="0"/>
          <w:numId w:val="26"/>
        </w:numPr>
        <w:spacing w:line="276" w:lineRule="auto"/>
        <w:jc w:val="both"/>
        <w:rPr>
          <w:rFonts w:cs="Arial"/>
          <w:b/>
          <w:smallCaps/>
          <w:szCs w:val="20"/>
        </w:rPr>
      </w:pPr>
      <w:r>
        <w:rPr>
          <w:rFonts w:cs="Arial"/>
          <w:b/>
          <w:smallCaps/>
          <w:szCs w:val="20"/>
        </w:rPr>
        <w:t xml:space="preserve">ZASADNOŚĆ ZASTOSOWANIA </w:t>
      </w:r>
      <w:r w:rsidR="006A719E" w:rsidRPr="005F7602">
        <w:rPr>
          <w:rFonts w:cs="Arial"/>
          <w:b/>
          <w:smallCaps/>
          <w:szCs w:val="20"/>
        </w:rPr>
        <w:t>PROPONOWAN</w:t>
      </w:r>
      <w:r>
        <w:rPr>
          <w:rFonts w:cs="Arial"/>
          <w:b/>
          <w:smallCaps/>
          <w:szCs w:val="20"/>
        </w:rPr>
        <w:t>YCH</w:t>
      </w:r>
      <w:r w:rsidR="006A719E" w:rsidRPr="005F7602">
        <w:rPr>
          <w:rFonts w:cs="Arial"/>
          <w:b/>
          <w:smallCaps/>
          <w:szCs w:val="20"/>
        </w:rPr>
        <w:t xml:space="preserve"> METOD I OBLICZE</w:t>
      </w:r>
      <w:r>
        <w:rPr>
          <w:rFonts w:cs="Arial"/>
          <w:b/>
          <w:smallCaps/>
          <w:szCs w:val="20"/>
        </w:rPr>
        <w:t>Ń</w:t>
      </w:r>
      <w:r w:rsidR="006A719E" w:rsidRPr="005F7602">
        <w:rPr>
          <w:rFonts w:cs="Arial"/>
          <w:b/>
          <w:smallCaps/>
          <w:szCs w:val="20"/>
        </w:rPr>
        <w:t xml:space="preserve"> DLA DANEGO RODZAJU OPERACJI:</w:t>
      </w:r>
    </w:p>
    <w:p w14:paraId="7AA942FE" w14:textId="77441FCF" w:rsidR="003F58B3" w:rsidRPr="00A70C6E" w:rsidRDefault="00FF7EE3" w:rsidP="00C97704">
      <w:pPr>
        <w:tabs>
          <w:tab w:val="left" w:pos="8080"/>
        </w:tabs>
        <w:spacing w:line="276" w:lineRule="auto"/>
        <w:rPr>
          <w:rFonts w:cs="Arial"/>
          <w:bCs/>
          <w:szCs w:val="20"/>
        </w:rPr>
      </w:pPr>
      <w:bookmarkStart w:id="4" w:name="_Hlk142048958"/>
      <w:r w:rsidRPr="00A70C6E">
        <w:rPr>
          <w:rFonts w:cs="Arial"/>
          <w:bCs/>
          <w:szCs w:val="20"/>
        </w:rPr>
        <w:t xml:space="preserve">Metoda wyliczenia stawek jednostkowych zapewnia wiarygodność danych, gdyż została oparta o dane </w:t>
      </w:r>
      <w:r w:rsidR="00276277" w:rsidRPr="00A70C6E">
        <w:rPr>
          <w:rFonts w:cs="Arial"/>
          <w:bCs/>
          <w:szCs w:val="20"/>
        </w:rPr>
        <w:t>pochodzące z rynku (</w:t>
      </w:r>
      <w:r w:rsidR="00784A8D" w:rsidRPr="00A70C6E">
        <w:rPr>
          <w:rFonts w:cs="Arial"/>
          <w:bCs/>
          <w:szCs w:val="20"/>
        </w:rPr>
        <w:t>form edukacyjnych</w:t>
      </w:r>
      <w:r w:rsidR="0060039D" w:rsidRPr="00A70C6E">
        <w:rPr>
          <w:rFonts w:cs="Arial"/>
          <w:bCs/>
          <w:szCs w:val="20"/>
        </w:rPr>
        <w:t>, wsparcia</w:t>
      </w:r>
      <w:r w:rsidR="00784A8D" w:rsidRPr="00A70C6E">
        <w:rPr>
          <w:rFonts w:cs="Arial"/>
          <w:bCs/>
          <w:szCs w:val="20"/>
        </w:rPr>
        <w:t xml:space="preserve"> doradczego</w:t>
      </w:r>
      <w:r w:rsidR="00276277" w:rsidRPr="00A70C6E">
        <w:rPr>
          <w:rFonts w:cs="Arial"/>
          <w:bCs/>
          <w:szCs w:val="20"/>
        </w:rPr>
        <w:t>)</w:t>
      </w:r>
      <w:r w:rsidR="00BE11EA">
        <w:rPr>
          <w:rFonts w:cs="Arial"/>
          <w:bCs/>
          <w:szCs w:val="20"/>
        </w:rPr>
        <w:t xml:space="preserve"> </w:t>
      </w:r>
      <w:r w:rsidR="007B7C52" w:rsidRPr="00A70C6E">
        <w:rPr>
          <w:rFonts w:cs="Arial"/>
          <w:bCs/>
          <w:szCs w:val="20"/>
        </w:rPr>
        <w:t>oraz zweryfikowanych danych historycznych</w:t>
      </w:r>
      <w:r w:rsidR="00784A8D" w:rsidRPr="00A70C6E">
        <w:rPr>
          <w:rFonts w:cs="Arial"/>
          <w:bCs/>
          <w:szCs w:val="20"/>
        </w:rPr>
        <w:t xml:space="preserve"> z porównywalnego projektu POWER</w:t>
      </w:r>
      <w:r w:rsidR="005F05DF">
        <w:rPr>
          <w:rFonts w:cs="Arial"/>
          <w:bCs/>
          <w:szCs w:val="20"/>
        </w:rPr>
        <w:t>,</w:t>
      </w:r>
      <w:r w:rsidR="007B7C52" w:rsidRPr="00A70C6E">
        <w:rPr>
          <w:rFonts w:cs="Arial"/>
          <w:bCs/>
          <w:szCs w:val="20"/>
        </w:rPr>
        <w:t xml:space="preserve"> </w:t>
      </w:r>
      <w:r w:rsidR="000C5DB1" w:rsidRPr="00A70C6E">
        <w:rPr>
          <w:rFonts w:cs="Arial"/>
          <w:bCs/>
          <w:szCs w:val="20"/>
        </w:rPr>
        <w:t xml:space="preserve">jako poprzednika projektu FERS </w:t>
      </w:r>
      <w:r w:rsidR="007B7C52" w:rsidRPr="00A70C6E">
        <w:rPr>
          <w:rFonts w:cs="Arial"/>
          <w:bCs/>
          <w:szCs w:val="20"/>
        </w:rPr>
        <w:t>(</w:t>
      </w:r>
      <w:r w:rsidR="00784A8D" w:rsidRPr="00A70C6E">
        <w:rPr>
          <w:rFonts w:cs="Arial"/>
          <w:bCs/>
          <w:szCs w:val="20"/>
        </w:rPr>
        <w:t>przygotowanie do posiedzeń KM</w:t>
      </w:r>
      <w:r w:rsidR="007B7C52" w:rsidRPr="00A70C6E">
        <w:rPr>
          <w:rFonts w:cs="Arial"/>
          <w:bCs/>
          <w:szCs w:val="20"/>
        </w:rPr>
        <w:t>).</w:t>
      </w:r>
      <w:r w:rsidR="008B6D3B" w:rsidRPr="00A70C6E">
        <w:rPr>
          <w:rFonts w:cs="Arial"/>
          <w:bCs/>
          <w:szCs w:val="20"/>
        </w:rPr>
        <w:t xml:space="preserve"> </w:t>
      </w:r>
    </w:p>
    <w:bookmarkEnd w:id="4"/>
    <w:p w14:paraId="4A7C114B" w14:textId="77777777" w:rsidR="007B7C52" w:rsidRPr="00A70C6E" w:rsidRDefault="008B6D3B" w:rsidP="00321FB3">
      <w:pPr>
        <w:spacing w:line="276" w:lineRule="auto"/>
        <w:rPr>
          <w:rFonts w:cs="Arial"/>
          <w:bCs/>
          <w:szCs w:val="20"/>
        </w:rPr>
      </w:pPr>
      <w:r w:rsidRPr="00A70C6E">
        <w:rPr>
          <w:rFonts w:cs="Arial"/>
          <w:bCs/>
          <w:szCs w:val="20"/>
        </w:rPr>
        <w:t xml:space="preserve">Zastosowanie tak wyliczonych stawek dla wszystkich partnerów zapewni jednolite podejście do </w:t>
      </w:r>
      <w:r w:rsidR="00366F26" w:rsidRPr="00A70C6E">
        <w:rPr>
          <w:rFonts w:cs="Arial"/>
          <w:bCs/>
          <w:szCs w:val="20"/>
        </w:rPr>
        <w:t>realizacji działań związanych z zapewnieniem uczestnictwa członków KM i ich zastępców w pracach KM.</w:t>
      </w:r>
    </w:p>
    <w:p w14:paraId="14B05060" w14:textId="74BBDD96" w:rsidR="00784A8D" w:rsidRPr="00A70C6E" w:rsidRDefault="00196D90" w:rsidP="00321FB3">
      <w:pPr>
        <w:spacing w:line="276" w:lineRule="auto"/>
        <w:rPr>
          <w:rFonts w:cs="Arial"/>
          <w:bCs/>
          <w:szCs w:val="20"/>
        </w:rPr>
      </w:pPr>
      <w:r>
        <w:rPr>
          <w:rFonts w:cs="Arial"/>
          <w:bCs/>
          <w:szCs w:val="20"/>
        </w:rPr>
        <w:t>S</w:t>
      </w:r>
      <w:r w:rsidR="00784A8D" w:rsidRPr="00A70C6E">
        <w:rPr>
          <w:rFonts w:cs="Arial"/>
          <w:bCs/>
          <w:szCs w:val="20"/>
        </w:rPr>
        <w:t>zczegółowe wyjaśnienia zawarto w pkt 1.</w:t>
      </w:r>
    </w:p>
    <w:p w14:paraId="4B083C74" w14:textId="0E566A13" w:rsidR="00056596" w:rsidRDefault="00056596" w:rsidP="3004B5B3">
      <w:pPr>
        <w:spacing w:line="276" w:lineRule="auto"/>
        <w:rPr>
          <w:rFonts w:cs="Arial"/>
        </w:rPr>
      </w:pPr>
      <w:r w:rsidRPr="3004B5B3">
        <w:rPr>
          <w:rFonts w:cs="Arial"/>
        </w:rPr>
        <w:t xml:space="preserve">Mając również na uwadze zapewnienie jednolitego podejścia do rozliczenia tych samych </w:t>
      </w:r>
      <w:r w:rsidR="00ED5637" w:rsidRPr="3004B5B3">
        <w:rPr>
          <w:rFonts w:cs="Arial"/>
        </w:rPr>
        <w:t xml:space="preserve">rodzajów </w:t>
      </w:r>
      <w:r w:rsidRPr="3004B5B3">
        <w:rPr>
          <w:rFonts w:cs="Arial"/>
        </w:rPr>
        <w:t>kosztów w ramach różnych KM, oraz, że wszystkie wyliczenia są dokonywane na podstawie danych obiektywnych</w:t>
      </w:r>
      <w:r w:rsidR="00F667D2">
        <w:rPr>
          <w:rFonts w:cs="Arial"/>
        </w:rPr>
        <w:t>,</w:t>
      </w:r>
      <w:r w:rsidRPr="3004B5B3">
        <w:rPr>
          <w:rFonts w:cs="Arial"/>
        </w:rPr>
        <w:t xml:space="preserve"> tzn. danych z rynku lub danych uniwersalnych (dotyczących tych samych kategorii kosztów) IZ zdecydowała się przyjąć </w:t>
      </w:r>
      <w:r w:rsidR="00B754FD" w:rsidRPr="3004B5B3">
        <w:rPr>
          <w:rFonts w:cs="Arial"/>
        </w:rPr>
        <w:t>powyższ</w:t>
      </w:r>
      <w:r w:rsidR="00D96390">
        <w:rPr>
          <w:rFonts w:cs="Arial"/>
        </w:rPr>
        <w:t>ą</w:t>
      </w:r>
      <w:r w:rsidR="00B754FD" w:rsidRPr="3004B5B3">
        <w:rPr>
          <w:rFonts w:cs="Arial"/>
        </w:rPr>
        <w:t xml:space="preserve"> </w:t>
      </w:r>
      <w:r w:rsidRPr="3004B5B3">
        <w:rPr>
          <w:rFonts w:cs="Arial"/>
        </w:rPr>
        <w:t>stawk</w:t>
      </w:r>
      <w:r w:rsidR="00D96390">
        <w:rPr>
          <w:rFonts w:cs="Arial"/>
        </w:rPr>
        <w:t>ę</w:t>
      </w:r>
      <w:r w:rsidRPr="3004B5B3">
        <w:rPr>
          <w:rFonts w:cs="Arial"/>
        </w:rPr>
        <w:t xml:space="preserve"> do rozliczania kosztów KM w FE</w:t>
      </w:r>
      <w:r w:rsidR="00356096">
        <w:rPr>
          <w:rFonts w:cs="Arial"/>
        </w:rPr>
        <w:t>PW</w:t>
      </w:r>
      <w:r w:rsidR="00D96390">
        <w:rPr>
          <w:rFonts w:cs="Arial"/>
        </w:rPr>
        <w:t>.</w:t>
      </w:r>
    </w:p>
    <w:p w14:paraId="3803D110" w14:textId="286EFD4C" w:rsidR="005F7602" w:rsidRPr="00A70C6E" w:rsidRDefault="00352C7C" w:rsidP="00C97704">
      <w:pPr>
        <w:spacing w:line="276" w:lineRule="auto"/>
        <w:rPr>
          <w:rFonts w:cs="Arial"/>
          <w:bCs/>
          <w:szCs w:val="20"/>
        </w:rPr>
      </w:pPr>
      <w:r>
        <w:rPr>
          <w:rFonts w:cs="Arial"/>
        </w:rPr>
        <w:t>Natomiast</w:t>
      </w:r>
      <w:r w:rsidR="00F667D2" w:rsidRPr="00F667D2">
        <w:rPr>
          <w:rFonts w:cs="Arial"/>
        </w:rPr>
        <w:t xml:space="preserve"> przy </w:t>
      </w:r>
      <w:r w:rsidR="007725D5">
        <w:rPr>
          <w:rFonts w:cs="Arial"/>
        </w:rPr>
        <w:t xml:space="preserve">wyliczaniu </w:t>
      </w:r>
      <w:r w:rsidR="007725D5" w:rsidRPr="00F667D2">
        <w:rPr>
          <w:rFonts w:cs="Arial"/>
        </w:rPr>
        <w:t>staw</w:t>
      </w:r>
      <w:r w:rsidR="007725D5">
        <w:rPr>
          <w:rFonts w:cs="Arial"/>
        </w:rPr>
        <w:t>ki jednostkowej</w:t>
      </w:r>
      <w:r w:rsidR="007725D5" w:rsidRPr="00F667D2">
        <w:rPr>
          <w:rFonts w:cs="Arial"/>
        </w:rPr>
        <w:t xml:space="preserve"> </w:t>
      </w:r>
      <w:r w:rsidR="00F667D2" w:rsidRPr="00F667D2">
        <w:rPr>
          <w:rFonts w:cs="Arial"/>
        </w:rPr>
        <w:t xml:space="preserve">na </w:t>
      </w:r>
      <w:r w:rsidR="007725D5">
        <w:rPr>
          <w:rFonts w:cs="Arial"/>
        </w:rPr>
        <w:t xml:space="preserve">zewnętrzne wsparcie </w:t>
      </w:r>
      <w:r w:rsidR="00F667D2" w:rsidRPr="00F667D2">
        <w:rPr>
          <w:rFonts w:cs="Arial"/>
        </w:rPr>
        <w:t>dorad</w:t>
      </w:r>
      <w:r w:rsidR="007725D5">
        <w:rPr>
          <w:rFonts w:cs="Arial"/>
        </w:rPr>
        <w:t>c</w:t>
      </w:r>
      <w:r w:rsidR="00F667D2" w:rsidRPr="00F667D2">
        <w:rPr>
          <w:rFonts w:cs="Arial"/>
        </w:rPr>
        <w:t>z</w:t>
      </w:r>
      <w:r w:rsidR="007725D5">
        <w:rPr>
          <w:rFonts w:cs="Arial"/>
        </w:rPr>
        <w:t>e</w:t>
      </w:r>
      <w:r w:rsidR="00F667D2" w:rsidRPr="00F667D2">
        <w:rPr>
          <w:rFonts w:cs="Arial"/>
        </w:rPr>
        <w:t xml:space="preserve">, które będzie dotyczyło specyficznych dla programu </w:t>
      </w:r>
      <w:r w:rsidR="007725D5">
        <w:rPr>
          <w:rFonts w:cs="Arial"/>
        </w:rPr>
        <w:t xml:space="preserve">FEPW </w:t>
      </w:r>
      <w:r w:rsidR="00F667D2" w:rsidRPr="00F667D2">
        <w:rPr>
          <w:rFonts w:cs="Arial"/>
        </w:rPr>
        <w:t xml:space="preserve">obszarów </w:t>
      </w:r>
      <w:r>
        <w:rPr>
          <w:rFonts w:cs="Arial"/>
        </w:rPr>
        <w:t xml:space="preserve">uwzględniono </w:t>
      </w:r>
      <w:r w:rsidR="00652C80">
        <w:rPr>
          <w:rFonts w:cs="Arial"/>
        </w:rPr>
        <w:t>następujące</w:t>
      </w:r>
      <w:r>
        <w:rPr>
          <w:rFonts w:cs="Arial"/>
        </w:rPr>
        <w:t xml:space="preserve"> obszary</w:t>
      </w:r>
      <w:r w:rsidR="00F667D2" w:rsidRPr="00F667D2">
        <w:rPr>
          <w:rFonts w:cs="Arial"/>
        </w:rPr>
        <w:t xml:space="preserve"> </w:t>
      </w:r>
      <w:r>
        <w:rPr>
          <w:rFonts w:cs="Arial"/>
        </w:rPr>
        <w:t>udzielanego wsparcia</w:t>
      </w:r>
      <w:r w:rsidR="003315A0">
        <w:rPr>
          <w:rFonts w:cs="Arial"/>
        </w:rPr>
        <w:t>:</w:t>
      </w:r>
      <w:r>
        <w:rPr>
          <w:rFonts w:cs="Arial"/>
        </w:rPr>
        <w:t xml:space="preserve"> </w:t>
      </w:r>
      <w:r w:rsidR="007725D5">
        <w:rPr>
          <w:rFonts w:cs="Arial"/>
          <w:szCs w:val="20"/>
        </w:rPr>
        <w:t>ekologia i rolnictwo</w:t>
      </w:r>
      <w:r w:rsidR="007725D5" w:rsidRPr="00180BF1">
        <w:rPr>
          <w:rFonts w:cs="Arial"/>
          <w:szCs w:val="20"/>
        </w:rPr>
        <w:t>, finanse i bankowość</w:t>
      </w:r>
      <w:r w:rsidR="007725D5">
        <w:rPr>
          <w:rFonts w:cs="Arial"/>
          <w:szCs w:val="20"/>
        </w:rPr>
        <w:t>,</w:t>
      </w:r>
      <w:r w:rsidR="007725D5" w:rsidRPr="00180BF1">
        <w:rPr>
          <w:rFonts w:cs="Arial"/>
          <w:szCs w:val="20"/>
        </w:rPr>
        <w:t xml:space="preserve"> informatyka i telekomunikacja</w:t>
      </w:r>
      <w:r w:rsidR="007725D5">
        <w:rPr>
          <w:rFonts w:cs="Arial"/>
          <w:szCs w:val="20"/>
        </w:rPr>
        <w:t>,</w:t>
      </w:r>
      <w:r w:rsidR="007725D5" w:rsidRPr="00180BF1">
        <w:rPr>
          <w:rFonts w:cs="Arial"/>
          <w:szCs w:val="20"/>
        </w:rPr>
        <w:t xml:space="preserve"> prawo i administracja, </w:t>
      </w:r>
      <w:r w:rsidR="007725D5">
        <w:rPr>
          <w:rFonts w:cs="Arial"/>
          <w:szCs w:val="20"/>
        </w:rPr>
        <w:t>biznes</w:t>
      </w:r>
      <w:r w:rsidR="007725D5" w:rsidRPr="00180BF1">
        <w:rPr>
          <w:rFonts w:cs="Arial"/>
          <w:szCs w:val="20"/>
        </w:rPr>
        <w:t>, techniczne</w:t>
      </w:r>
      <w:r w:rsidR="00076768">
        <w:rPr>
          <w:rFonts w:cs="Arial"/>
          <w:szCs w:val="20"/>
        </w:rPr>
        <w:t xml:space="preserve"> oraz inne.</w:t>
      </w:r>
    </w:p>
    <w:p w14:paraId="5CE4D979" w14:textId="77777777" w:rsidR="005F05DF" w:rsidRDefault="00B97551" w:rsidP="005F7602">
      <w:pPr>
        <w:pStyle w:val="Akapitzlist"/>
        <w:numPr>
          <w:ilvl w:val="0"/>
          <w:numId w:val="26"/>
        </w:numPr>
        <w:spacing w:line="276" w:lineRule="auto"/>
        <w:jc w:val="both"/>
        <w:rPr>
          <w:rFonts w:cs="Arial"/>
          <w:b/>
          <w:szCs w:val="20"/>
        </w:rPr>
      </w:pPr>
      <w:r w:rsidRPr="00A70C6E">
        <w:rPr>
          <w:rFonts w:cs="Arial"/>
          <w:b/>
          <w:szCs w:val="20"/>
        </w:rPr>
        <w:t>SPOSÓB DOKONANIA OBLICZEŃ, W TYM W SZCZEGÓLNOŚCI ZAŁOŻENIA PRZYJĘTE W ODNIESIENIU DO JAKOŚCI LUB ILOŚCI DANYCH.</w:t>
      </w:r>
    </w:p>
    <w:p w14:paraId="364ADADC" w14:textId="1EEC1BA3" w:rsidR="000644DB" w:rsidRPr="005F05DF" w:rsidRDefault="000644DB" w:rsidP="005F05DF">
      <w:pPr>
        <w:spacing w:line="276" w:lineRule="auto"/>
        <w:jc w:val="both"/>
        <w:rPr>
          <w:rFonts w:cs="Arial"/>
          <w:b/>
          <w:szCs w:val="20"/>
        </w:rPr>
      </w:pPr>
    </w:p>
    <w:p w14:paraId="43BCE6C5" w14:textId="77777777" w:rsidR="00E3300A" w:rsidRPr="00BE11EA" w:rsidRDefault="00E3300A" w:rsidP="00E3300A">
      <w:pPr>
        <w:pStyle w:val="Akapitzlist"/>
        <w:numPr>
          <w:ilvl w:val="0"/>
          <w:numId w:val="51"/>
        </w:numPr>
        <w:spacing w:before="60" w:after="60" w:line="276" w:lineRule="auto"/>
        <w:ind w:right="232"/>
        <w:rPr>
          <w:rFonts w:cs="Arial"/>
          <w:b/>
          <w:szCs w:val="20"/>
        </w:rPr>
      </w:pPr>
      <w:r w:rsidRPr="00BE11EA">
        <w:rPr>
          <w:rFonts w:cs="Arial"/>
          <w:b/>
          <w:bCs/>
          <w:szCs w:val="20"/>
        </w:rPr>
        <w:t>Stawka jednostkowa na podnoszenie przez partnerów KM kompetencji związanych z ich uczestnictwem w KM</w:t>
      </w:r>
    </w:p>
    <w:p w14:paraId="40EDFBB8" w14:textId="650F3F61" w:rsidR="00E3300A" w:rsidRPr="002A4057" w:rsidRDefault="00E3300A" w:rsidP="00E3300A">
      <w:pPr>
        <w:spacing w:before="60" w:after="60" w:line="276" w:lineRule="auto"/>
        <w:ind w:right="232"/>
        <w:rPr>
          <w:rFonts w:cs="Arial"/>
          <w:bCs/>
          <w:szCs w:val="20"/>
        </w:rPr>
      </w:pPr>
      <w:r w:rsidRPr="002A4057">
        <w:rPr>
          <w:rFonts w:cs="Arial"/>
          <w:bCs/>
          <w:szCs w:val="20"/>
        </w:rPr>
        <w:t xml:space="preserve">W pierwszej kolejności ustalono średnią cenę godziny szkolenia na podstawie danych źródłowych pochodzących z </w:t>
      </w:r>
      <w:hyperlink r:id="rId14" w:history="1">
        <w:r w:rsidRPr="002A4057">
          <w:rPr>
            <w:rStyle w:val="Hipercze"/>
            <w:rFonts w:cs="Arial"/>
            <w:bCs/>
            <w:color w:val="auto"/>
            <w:szCs w:val="20"/>
          </w:rPr>
          <w:t>https://uslugirozwojowe.parp.gov.pl/wyszukiwarka/porownywarka</w:t>
        </w:r>
      </w:hyperlink>
      <w:r w:rsidRPr="002A4057">
        <w:rPr>
          <w:rFonts w:cs="Arial"/>
          <w:bCs/>
          <w:szCs w:val="20"/>
        </w:rPr>
        <w:t xml:space="preserve"> za okres od </w:t>
      </w:r>
      <w:r w:rsidR="002A4057">
        <w:rPr>
          <w:rFonts w:cs="Arial"/>
          <w:bCs/>
          <w:szCs w:val="20"/>
        </w:rPr>
        <w:t>01.01.2023 r.</w:t>
      </w:r>
      <w:r w:rsidRPr="002A4057">
        <w:rPr>
          <w:rFonts w:cs="Arial"/>
          <w:bCs/>
          <w:szCs w:val="20"/>
        </w:rPr>
        <w:t xml:space="preserve"> do </w:t>
      </w:r>
      <w:r w:rsidR="002A4057">
        <w:rPr>
          <w:rFonts w:cs="Arial"/>
          <w:bCs/>
          <w:szCs w:val="20"/>
        </w:rPr>
        <w:t>19.02.2024</w:t>
      </w:r>
      <w:r w:rsidRPr="002A4057">
        <w:rPr>
          <w:rFonts w:cs="Arial"/>
          <w:bCs/>
          <w:szCs w:val="20"/>
        </w:rPr>
        <w:t xml:space="preserve"> r. oraz raportu pt. "</w:t>
      </w:r>
      <w:hyperlink r:id="rId15" w:history="1">
        <w:r w:rsidRPr="005C22B1">
          <w:rPr>
            <w:rStyle w:val="Hipercze"/>
            <w:rFonts w:cs="Arial"/>
            <w:bCs/>
            <w:szCs w:val="20"/>
          </w:rPr>
          <w:t>Badanie cen rynkowych usług rozwojowych</w:t>
        </w:r>
      </w:hyperlink>
      <w:r w:rsidRPr="002A4057">
        <w:rPr>
          <w:rFonts w:cs="Arial"/>
          <w:bCs/>
          <w:szCs w:val="20"/>
        </w:rPr>
        <w:t xml:space="preserve">", wykonanego przez firmę DANAE na zlecenie PARP, luty 2022, w którym analizą statystyczną objęto usługi opublikowane w BUR od 1 stycznia 2020 roku do dnia 15 września 2021 r. </w:t>
      </w:r>
    </w:p>
    <w:p w14:paraId="04DE87C1" w14:textId="14FF49C0" w:rsidR="00E3300A" w:rsidRPr="00E3300A" w:rsidRDefault="00E3300A" w:rsidP="00E3300A">
      <w:pPr>
        <w:spacing w:before="60" w:after="60" w:line="276" w:lineRule="auto"/>
        <w:ind w:right="232"/>
        <w:rPr>
          <w:rFonts w:cs="Arial"/>
          <w:bCs/>
          <w:szCs w:val="20"/>
          <w:highlight w:val="yellow"/>
        </w:rPr>
      </w:pPr>
      <w:r w:rsidRPr="002A4057">
        <w:rPr>
          <w:rFonts w:cs="Arial"/>
          <w:bCs/>
          <w:szCs w:val="20"/>
        </w:rPr>
        <w:t xml:space="preserve">Następnie ustalono wartość stawki jednostkowej wyciągając średnią </w:t>
      </w:r>
      <w:r w:rsidR="002A4057">
        <w:rPr>
          <w:rFonts w:cs="Arial"/>
          <w:bCs/>
          <w:szCs w:val="20"/>
        </w:rPr>
        <w:t xml:space="preserve">arytmetyczną </w:t>
      </w:r>
      <w:r w:rsidRPr="002A4057">
        <w:rPr>
          <w:rFonts w:cs="Arial"/>
          <w:bCs/>
          <w:szCs w:val="20"/>
        </w:rPr>
        <w:t xml:space="preserve">z cen poszczególnych szkoleń ujętych w Raporcie PARP oraz w wyszukiwarce PARP, która wyniosła </w:t>
      </w:r>
      <w:r w:rsidR="00C32D3B" w:rsidRPr="00C32D3B">
        <w:rPr>
          <w:rFonts w:cs="Arial"/>
          <w:bCs/>
          <w:szCs w:val="20"/>
        </w:rPr>
        <w:t>152</w:t>
      </w:r>
      <w:r w:rsidRPr="00C32D3B">
        <w:rPr>
          <w:rFonts w:cs="Arial"/>
          <w:bCs/>
          <w:szCs w:val="20"/>
        </w:rPr>
        <w:t xml:space="preserve"> </w:t>
      </w:r>
      <w:r w:rsidRPr="002A4057">
        <w:rPr>
          <w:rFonts w:cs="Arial"/>
          <w:bCs/>
          <w:szCs w:val="20"/>
        </w:rPr>
        <w:t xml:space="preserve">PLN i następnie mnożąc ją przez czas trwania szkolenia dwudniowego, tj. 14 godzin oraz przez </w:t>
      </w:r>
      <w:r w:rsidRPr="002A4057">
        <w:rPr>
          <w:rFonts w:cs="Arial"/>
          <w:bCs/>
          <w:szCs w:val="20"/>
        </w:rPr>
        <w:lastRenderedPageBreak/>
        <w:t xml:space="preserve">liczbę szkoleń możliwych do realizacji przez instytucję w roku, tj. 2. </w:t>
      </w:r>
      <w:r w:rsidRPr="007B76BD">
        <w:rPr>
          <w:rFonts w:cs="Arial"/>
          <w:bCs/>
          <w:szCs w:val="20"/>
        </w:rPr>
        <w:t>Ustalona w ten sposób kwota wyniosła</w:t>
      </w:r>
      <w:r w:rsidRPr="007B76BD">
        <w:rPr>
          <w:rFonts w:cs="Arial"/>
          <w:szCs w:val="20"/>
        </w:rPr>
        <w:t xml:space="preserve"> </w:t>
      </w:r>
      <w:r w:rsidRPr="007B76BD">
        <w:rPr>
          <w:rFonts w:cs="Arial"/>
          <w:bCs/>
          <w:szCs w:val="20"/>
        </w:rPr>
        <w:t xml:space="preserve">4 </w:t>
      </w:r>
      <w:r w:rsidR="007B76BD" w:rsidRPr="007B76BD">
        <w:rPr>
          <w:rFonts w:cs="Arial"/>
          <w:bCs/>
          <w:szCs w:val="20"/>
        </w:rPr>
        <w:t>256</w:t>
      </w:r>
      <w:r w:rsidRPr="007B76BD">
        <w:rPr>
          <w:rFonts w:cs="Arial"/>
          <w:bCs/>
          <w:szCs w:val="20"/>
        </w:rPr>
        <w:t xml:space="preserve"> PLN ((1</w:t>
      </w:r>
      <w:r w:rsidR="00C32D3B" w:rsidRPr="007B76BD">
        <w:rPr>
          <w:rFonts w:cs="Arial"/>
          <w:bCs/>
          <w:szCs w:val="20"/>
        </w:rPr>
        <w:t>52</w:t>
      </w:r>
      <w:r w:rsidRPr="007B76BD">
        <w:rPr>
          <w:rFonts w:cs="Arial"/>
          <w:bCs/>
          <w:szCs w:val="20"/>
        </w:rPr>
        <w:t xml:space="preserve"> x 14) x 2)</w:t>
      </w:r>
      <w:r w:rsidR="007B76BD" w:rsidRPr="007B76BD">
        <w:rPr>
          <w:rFonts w:cs="Arial"/>
          <w:bCs/>
          <w:szCs w:val="20"/>
        </w:rPr>
        <w:t>.</w:t>
      </w:r>
    </w:p>
    <w:p w14:paraId="680ABCA5" w14:textId="18DBA274" w:rsidR="00E3300A" w:rsidRPr="00A70C6E" w:rsidRDefault="00E3300A" w:rsidP="00E3300A">
      <w:pPr>
        <w:spacing w:before="60" w:after="60" w:line="276" w:lineRule="auto"/>
        <w:ind w:right="232"/>
        <w:jc w:val="both"/>
        <w:rPr>
          <w:rFonts w:cs="Arial"/>
          <w:bCs/>
          <w:szCs w:val="20"/>
        </w:rPr>
      </w:pPr>
      <w:r w:rsidRPr="002A4057">
        <w:rPr>
          <w:rFonts w:cs="Arial"/>
          <w:bCs/>
          <w:szCs w:val="20"/>
        </w:rPr>
        <w:t xml:space="preserve">Szczegółowe wyliczenia znajdują się w załączniku </w:t>
      </w:r>
      <w:r w:rsidR="002A4057">
        <w:rPr>
          <w:rFonts w:cs="Arial"/>
          <w:bCs/>
          <w:szCs w:val="20"/>
        </w:rPr>
        <w:t xml:space="preserve">nr </w:t>
      </w:r>
      <w:r w:rsidRPr="002A4057">
        <w:rPr>
          <w:rFonts w:cs="Arial"/>
          <w:bCs/>
          <w:szCs w:val="20"/>
        </w:rPr>
        <w:t>1</w:t>
      </w:r>
      <w:r w:rsidR="002A4057">
        <w:rPr>
          <w:rFonts w:cs="Arial"/>
          <w:bCs/>
          <w:szCs w:val="20"/>
        </w:rPr>
        <w:t xml:space="preserve"> w zakładce </w:t>
      </w:r>
      <w:r w:rsidR="002A4057" w:rsidRPr="002A4057">
        <w:rPr>
          <w:rFonts w:cs="Arial"/>
          <w:bCs/>
          <w:i/>
          <w:iCs/>
          <w:szCs w:val="20"/>
        </w:rPr>
        <w:t>I. Szkolenia</w:t>
      </w:r>
      <w:r w:rsidR="002A4057">
        <w:rPr>
          <w:rFonts w:cs="Arial"/>
          <w:bCs/>
          <w:szCs w:val="20"/>
        </w:rPr>
        <w:t xml:space="preserve"> oraz załączniku nr 2</w:t>
      </w:r>
      <w:r w:rsidRPr="002A4057">
        <w:rPr>
          <w:rFonts w:cs="Arial"/>
          <w:bCs/>
          <w:szCs w:val="20"/>
        </w:rPr>
        <w:t>.</w:t>
      </w:r>
    </w:p>
    <w:p w14:paraId="1E255BAF" w14:textId="77777777" w:rsidR="00E3300A" w:rsidRDefault="00E3300A" w:rsidP="00E3300A">
      <w:pPr>
        <w:pStyle w:val="Akapitzlist"/>
        <w:spacing w:before="60" w:after="60" w:line="276" w:lineRule="auto"/>
        <w:ind w:left="1080" w:right="232"/>
        <w:jc w:val="both"/>
        <w:rPr>
          <w:rFonts w:cs="Arial"/>
          <w:b/>
          <w:bCs/>
          <w:szCs w:val="20"/>
        </w:rPr>
      </w:pPr>
    </w:p>
    <w:p w14:paraId="16C04D55" w14:textId="0ABA0A2F" w:rsidR="00321FB3" w:rsidRPr="00BE11EA" w:rsidRDefault="00321FB3" w:rsidP="00BE11EA">
      <w:pPr>
        <w:pStyle w:val="Akapitzlist"/>
        <w:numPr>
          <w:ilvl w:val="0"/>
          <w:numId w:val="51"/>
        </w:numPr>
        <w:spacing w:before="60" w:after="60" w:line="276" w:lineRule="auto"/>
        <w:ind w:right="232"/>
        <w:jc w:val="both"/>
        <w:rPr>
          <w:rFonts w:cs="Arial"/>
          <w:b/>
          <w:bCs/>
          <w:szCs w:val="20"/>
        </w:rPr>
      </w:pPr>
      <w:r w:rsidRPr="00BE11EA">
        <w:rPr>
          <w:rFonts w:cs="Arial"/>
          <w:b/>
          <w:bCs/>
          <w:szCs w:val="20"/>
        </w:rPr>
        <w:t xml:space="preserve">Stawka jednostkowa na przygotowanie do posiedzeń KM </w:t>
      </w:r>
    </w:p>
    <w:p w14:paraId="6A637BDC" w14:textId="77777777" w:rsidR="00A01FDF" w:rsidRPr="00A70C6E" w:rsidRDefault="00C504CA" w:rsidP="006D020C">
      <w:pPr>
        <w:spacing w:before="60" w:after="60" w:line="276" w:lineRule="auto"/>
        <w:ind w:right="232"/>
        <w:jc w:val="both"/>
        <w:rPr>
          <w:rFonts w:cs="Arial"/>
          <w:bCs/>
          <w:szCs w:val="20"/>
        </w:rPr>
      </w:pPr>
      <w:bookmarkStart w:id="5" w:name="_Hlk142556946"/>
      <w:r w:rsidRPr="00A70C6E">
        <w:rPr>
          <w:rFonts w:cs="Arial"/>
          <w:bCs/>
          <w:szCs w:val="20"/>
        </w:rPr>
        <w:t>W pierwszej kolejności ustalono wartość wydatków poniesionych przez członków KM PO WER na konsultacje ze środowiskiem za lata 2016 – 2019,</w:t>
      </w:r>
      <w:r w:rsidR="00E67F2E" w:rsidRPr="00A70C6E">
        <w:rPr>
          <w:rFonts w:cs="Arial"/>
          <w:bCs/>
          <w:szCs w:val="20"/>
        </w:rPr>
        <w:t xml:space="preserve"> które były rozliczane przez członków KM PO WER w projekcie IZ PO WER</w:t>
      </w:r>
      <w:r w:rsidR="00A01FDF" w:rsidRPr="00A70C6E">
        <w:rPr>
          <w:rFonts w:cs="Arial"/>
          <w:bCs/>
          <w:szCs w:val="20"/>
        </w:rPr>
        <w:t xml:space="preserve"> nr:</w:t>
      </w:r>
    </w:p>
    <w:p w14:paraId="059399CA" w14:textId="77777777" w:rsidR="00A01FDF" w:rsidRPr="00A70C6E" w:rsidRDefault="00A01FDF" w:rsidP="007E08CA">
      <w:pPr>
        <w:pStyle w:val="Akapitzlist"/>
        <w:numPr>
          <w:ilvl w:val="3"/>
          <w:numId w:val="35"/>
        </w:numPr>
        <w:spacing w:before="60" w:after="60" w:line="276" w:lineRule="auto"/>
        <w:ind w:left="993" w:right="232" w:hanging="426"/>
        <w:jc w:val="both"/>
        <w:rPr>
          <w:rFonts w:cs="Arial"/>
          <w:bCs/>
          <w:szCs w:val="20"/>
        </w:rPr>
      </w:pPr>
      <w:r w:rsidRPr="00A70C6E">
        <w:rPr>
          <w:rFonts w:cs="Arial"/>
          <w:bCs/>
          <w:szCs w:val="20"/>
        </w:rPr>
        <w:t>POWR.06.01.00-00-0002/15-00</w:t>
      </w:r>
    </w:p>
    <w:p w14:paraId="0A7F9F52" w14:textId="77777777" w:rsidR="00A01FDF" w:rsidRPr="00A70C6E" w:rsidRDefault="00A01FDF" w:rsidP="007E08CA">
      <w:pPr>
        <w:pStyle w:val="Akapitzlist"/>
        <w:numPr>
          <w:ilvl w:val="3"/>
          <w:numId w:val="35"/>
        </w:numPr>
        <w:spacing w:before="60" w:after="60" w:line="276" w:lineRule="auto"/>
        <w:ind w:left="993" w:right="232" w:hanging="426"/>
        <w:jc w:val="both"/>
        <w:rPr>
          <w:rFonts w:cs="Arial"/>
          <w:bCs/>
          <w:szCs w:val="20"/>
        </w:rPr>
      </w:pPr>
      <w:r w:rsidRPr="00A70C6E">
        <w:rPr>
          <w:rFonts w:cs="Arial"/>
          <w:bCs/>
          <w:szCs w:val="20"/>
        </w:rPr>
        <w:t>POWR.06.01.00-00-0001/16-00</w:t>
      </w:r>
    </w:p>
    <w:p w14:paraId="5D0FC476" w14:textId="77777777" w:rsidR="00A01FDF" w:rsidRPr="00A70C6E" w:rsidRDefault="00A01FDF" w:rsidP="007E08CA">
      <w:pPr>
        <w:pStyle w:val="Akapitzlist"/>
        <w:numPr>
          <w:ilvl w:val="3"/>
          <w:numId w:val="35"/>
        </w:numPr>
        <w:spacing w:before="60" w:after="60" w:line="276" w:lineRule="auto"/>
        <w:ind w:left="993" w:right="232" w:hanging="426"/>
        <w:jc w:val="both"/>
        <w:rPr>
          <w:rFonts w:cs="Arial"/>
          <w:bCs/>
          <w:szCs w:val="20"/>
        </w:rPr>
      </w:pPr>
      <w:r w:rsidRPr="00A70C6E">
        <w:rPr>
          <w:rFonts w:cs="Arial"/>
          <w:bCs/>
          <w:szCs w:val="20"/>
        </w:rPr>
        <w:t>POWR.06.01.00-00-0001/17-00</w:t>
      </w:r>
    </w:p>
    <w:p w14:paraId="40F0BB22" w14:textId="77777777" w:rsidR="00745E3A" w:rsidRPr="00A70C6E" w:rsidRDefault="00A01FDF" w:rsidP="007E08CA">
      <w:pPr>
        <w:pStyle w:val="Akapitzlist"/>
        <w:numPr>
          <w:ilvl w:val="3"/>
          <w:numId w:val="35"/>
        </w:numPr>
        <w:spacing w:before="60" w:after="60" w:line="276" w:lineRule="auto"/>
        <w:ind w:left="993" w:right="232" w:hanging="426"/>
        <w:jc w:val="both"/>
        <w:rPr>
          <w:rFonts w:cs="Arial"/>
          <w:bCs/>
          <w:szCs w:val="20"/>
        </w:rPr>
      </w:pPr>
      <w:r w:rsidRPr="00A70C6E">
        <w:rPr>
          <w:rFonts w:cs="Arial"/>
          <w:bCs/>
          <w:szCs w:val="20"/>
        </w:rPr>
        <w:t>POWR.06.01.00-00-0001/18-00</w:t>
      </w:r>
      <w:r w:rsidR="00E67F2E" w:rsidRPr="00A70C6E">
        <w:rPr>
          <w:rFonts w:cs="Arial"/>
          <w:bCs/>
          <w:szCs w:val="20"/>
        </w:rPr>
        <w:t>.</w:t>
      </w:r>
    </w:p>
    <w:bookmarkEnd w:id="5"/>
    <w:p w14:paraId="6E47E024" w14:textId="6B37CA1B" w:rsidR="00660D5C" w:rsidRPr="00A70C6E" w:rsidRDefault="00660D5C" w:rsidP="006D020C">
      <w:pPr>
        <w:spacing w:before="60" w:after="60" w:line="276" w:lineRule="auto"/>
        <w:ind w:right="232"/>
        <w:jc w:val="both"/>
        <w:rPr>
          <w:rFonts w:cs="Arial"/>
          <w:szCs w:val="20"/>
        </w:rPr>
      </w:pPr>
      <w:r w:rsidRPr="00A70C6E">
        <w:rPr>
          <w:rFonts w:cs="Arial"/>
          <w:szCs w:val="20"/>
        </w:rPr>
        <w:t>Następnie dla każdego roku ustalona została średnia wartość jednej konsultacji, która została zindeksowana o wskaźnik inflacji za rok 2020 (103,4), za rok 2021 (105,1)</w:t>
      </w:r>
      <w:r w:rsidR="00426712">
        <w:rPr>
          <w:rFonts w:cs="Arial"/>
          <w:szCs w:val="20"/>
        </w:rPr>
        <w:t>,</w:t>
      </w:r>
      <w:r w:rsidRPr="00A70C6E">
        <w:rPr>
          <w:rFonts w:cs="Arial"/>
          <w:szCs w:val="20"/>
        </w:rPr>
        <w:t xml:space="preserve"> za rok 2022 (114,4)</w:t>
      </w:r>
      <w:r w:rsidR="00426712">
        <w:rPr>
          <w:rFonts w:cs="Arial"/>
          <w:szCs w:val="20"/>
        </w:rPr>
        <w:t xml:space="preserve"> i za rok 2023 (111,4)</w:t>
      </w:r>
      <w:r w:rsidRPr="00A70C6E">
        <w:rPr>
          <w:rFonts w:cs="Arial"/>
          <w:szCs w:val="20"/>
        </w:rPr>
        <w:t xml:space="preserve">. W ten sposób wyliczona kwota wyniosła  </w:t>
      </w:r>
      <w:r w:rsidR="00C85825" w:rsidRPr="00A70C6E">
        <w:rPr>
          <w:rFonts w:cs="Arial"/>
          <w:szCs w:val="20"/>
        </w:rPr>
        <w:t>4 </w:t>
      </w:r>
      <w:r w:rsidR="0075539E">
        <w:rPr>
          <w:rFonts w:cs="Arial"/>
          <w:szCs w:val="20"/>
        </w:rPr>
        <w:t>775</w:t>
      </w:r>
      <w:r w:rsidR="00C85825" w:rsidRPr="00A70C6E">
        <w:rPr>
          <w:rFonts w:cs="Arial"/>
          <w:szCs w:val="20"/>
        </w:rPr>
        <w:t>,</w:t>
      </w:r>
      <w:r w:rsidR="0075539E">
        <w:rPr>
          <w:rFonts w:cs="Arial"/>
          <w:szCs w:val="20"/>
        </w:rPr>
        <w:t>3</w:t>
      </w:r>
      <w:r w:rsidR="00C85825" w:rsidRPr="00A70C6E">
        <w:rPr>
          <w:rFonts w:cs="Arial"/>
          <w:szCs w:val="20"/>
        </w:rPr>
        <w:t>3 PLN</w:t>
      </w:r>
      <w:r w:rsidR="00426712">
        <w:rPr>
          <w:rFonts w:cs="Arial"/>
          <w:szCs w:val="20"/>
        </w:rPr>
        <w:t xml:space="preserve"> (w 2022 r.) oraz 5 319,7</w:t>
      </w:r>
      <w:r w:rsidR="00BC51B0">
        <w:rPr>
          <w:rFonts w:cs="Arial"/>
          <w:szCs w:val="20"/>
        </w:rPr>
        <w:t>1</w:t>
      </w:r>
      <w:r w:rsidR="00426712">
        <w:rPr>
          <w:rFonts w:cs="Arial"/>
          <w:szCs w:val="20"/>
        </w:rPr>
        <w:t xml:space="preserve"> PLN</w:t>
      </w:r>
      <w:r w:rsidR="00BC51B0">
        <w:rPr>
          <w:rFonts w:cs="Arial"/>
          <w:szCs w:val="20"/>
        </w:rPr>
        <w:t>,</w:t>
      </w:r>
      <w:r w:rsidR="00C85825" w:rsidRPr="00A70C6E">
        <w:rPr>
          <w:rFonts w:cs="Arial"/>
          <w:szCs w:val="20"/>
        </w:rPr>
        <w:t xml:space="preserve"> a po zaokrągleniu do pełnych złotych </w:t>
      </w:r>
      <w:r w:rsidR="00567583" w:rsidRPr="00A70C6E">
        <w:rPr>
          <w:rFonts w:cs="Arial"/>
          <w:szCs w:val="20"/>
        </w:rPr>
        <w:t xml:space="preserve">ustalono wartość jednego spotkania w konsultacyjnego w kwocie </w:t>
      </w:r>
      <w:r w:rsidR="00426712">
        <w:rPr>
          <w:rFonts w:cs="Arial"/>
          <w:szCs w:val="20"/>
        </w:rPr>
        <w:t>5 320</w:t>
      </w:r>
      <w:r w:rsidR="00C85825" w:rsidRPr="00A70C6E">
        <w:rPr>
          <w:rFonts w:cs="Arial"/>
          <w:szCs w:val="20"/>
        </w:rPr>
        <w:t xml:space="preserve"> PLN.</w:t>
      </w:r>
      <w:r w:rsidR="00782DEA" w:rsidRPr="00A70C6E">
        <w:rPr>
          <w:rFonts w:cs="Arial"/>
          <w:szCs w:val="20"/>
        </w:rPr>
        <w:t xml:space="preserve"> </w:t>
      </w:r>
      <w:r w:rsidR="00E67F2E" w:rsidRPr="00A70C6E">
        <w:rPr>
          <w:rFonts w:cs="Arial"/>
          <w:szCs w:val="20"/>
        </w:rPr>
        <w:t xml:space="preserve">Szczegółowe wyliczenia zawarto w załączniku </w:t>
      </w:r>
      <w:r w:rsidR="00E52645">
        <w:rPr>
          <w:rFonts w:cs="Arial"/>
          <w:szCs w:val="20"/>
        </w:rPr>
        <w:t xml:space="preserve">nr </w:t>
      </w:r>
      <w:r w:rsidR="00E67F2E" w:rsidRPr="00A70C6E">
        <w:rPr>
          <w:rFonts w:cs="Arial"/>
          <w:szCs w:val="20"/>
        </w:rPr>
        <w:t>1</w:t>
      </w:r>
      <w:r w:rsidR="00E52645">
        <w:rPr>
          <w:rFonts w:cs="Arial"/>
          <w:szCs w:val="20"/>
        </w:rPr>
        <w:t xml:space="preserve"> w zakładce </w:t>
      </w:r>
      <w:r w:rsidR="00E52645" w:rsidRPr="00E52645">
        <w:rPr>
          <w:rFonts w:cs="Arial"/>
          <w:i/>
          <w:iCs/>
          <w:szCs w:val="20"/>
        </w:rPr>
        <w:t>II. Spotkania konsultacyjne</w:t>
      </w:r>
      <w:r w:rsidR="00E67F2E" w:rsidRPr="00A70C6E">
        <w:rPr>
          <w:rFonts w:cs="Arial"/>
          <w:szCs w:val="20"/>
        </w:rPr>
        <w:t>.</w:t>
      </w:r>
      <w:r w:rsidR="00DD2C62">
        <w:rPr>
          <w:rFonts w:cs="Arial"/>
          <w:szCs w:val="20"/>
        </w:rPr>
        <w:t xml:space="preserve"> </w:t>
      </w:r>
    </w:p>
    <w:p w14:paraId="6E3ABEE0" w14:textId="77777777" w:rsidR="006D020C" w:rsidRPr="00A70C6E" w:rsidRDefault="006D020C" w:rsidP="006D020C">
      <w:pPr>
        <w:spacing w:before="60" w:after="60" w:line="276" w:lineRule="auto"/>
        <w:ind w:right="232"/>
        <w:jc w:val="both"/>
        <w:rPr>
          <w:rFonts w:cs="Arial"/>
          <w:szCs w:val="20"/>
        </w:rPr>
      </w:pPr>
    </w:p>
    <w:p w14:paraId="5EB986B8" w14:textId="062C4018" w:rsidR="00321FB3" w:rsidRPr="00BE11EA" w:rsidRDefault="00321FB3" w:rsidP="00BE11EA">
      <w:pPr>
        <w:pStyle w:val="Akapitzlist"/>
        <w:numPr>
          <w:ilvl w:val="0"/>
          <w:numId w:val="51"/>
        </w:numPr>
        <w:spacing w:before="60" w:after="60" w:line="276" w:lineRule="auto"/>
        <w:ind w:right="232"/>
        <w:jc w:val="both"/>
        <w:rPr>
          <w:rFonts w:cs="Arial"/>
          <w:b/>
          <w:bCs/>
          <w:szCs w:val="20"/>
        </w:rPr>
      </w:pPr>
      <w:r w:rsidRPr="00BE11EA">
        <w:rPr>
          <w:rFonts w:cs="Arial"/>
          <w:b/>
          <w:bCs/>
          <w:szCs w:val="20"/>
        </w:rPr>
        <w:t>Stawka jednostkowa na zewnętrzne wsparcie doradcze dla partnera KM</w:t>
      </w:r>
      <w:r w:rsidR="001C4B9A" w:rsidRPr="00BE11EA">
        <w:rPr>
          <w:rFonts w:cs="Arial"/>
          <w:b/>
          <w:bCs/>
          <w:szCs w:val="20"/>
        </w:rPr>
        <w:t xml:space="preserve"> </w:t>
      </w:r>
      <w:r w:rsidR="005B0B21" w:rsidRPr="00BE11EA">
        <w:rPr>
          <w:rFonts w:cs="Arial"/>
          <w:b/>
          <w:bCs/>
          <w:szCs w:val="20"/>
        </w:rPr>
        <w:t>FE</w:t>
      </w:r>
      <w:r w:rsidR="00356096">
        <w:rPr>
          <w:rFonts w:cs="Arial"/>
          <w:b/>
          <w:bCs/>
          <w:szCs w:val="20"/>
        </w:rPr>
        <w:t>PW</w:t>
      </w:r>
    </w:p>
    <w:p w14:paraId="64F731DF" w14:textId="7C45A469" w:rsidR="00131249" w:rsidRDefault="00131249" w:rsidP="00131249">
      <w:pPr>
        <w:spacing w:before="60" w:after="60" w:line="276" w:lineRule="auto"/>
        <w:ind w:right="232"/>
        <w:jc w:val="both"/>
        <w:rPr>
          <w:rFonts w:cs="Arial"/>
          <w:szCs w:val="20"/>
        </w:rPr>
      </w:pPr>
      <w:r w:rsidRPr="00586300">
        <w:rPr>
          <w:rFonts w:cs="Arial"/>
          <w:szCs w:val="20"/>
        </w:rPr>
        <w:t>Stawka została wyliczona na podstawie cen usług doradczych w B</w:t>
      </w:r>
      <w:r>
        <w:rPr>
          <w:rFonts w:cs="Arial"/>
          <w:szCs w:val="20"/>
        </w:rPr>
        <w:t xml:space="preserve">azie </w:t>
      </w:r>
      <w:r w:rsidRPr="00586300">
        <w:rPr>
          <w:rFonts w:cs="Arial"/>
          <w:szCs w:val="20"/>
        </w:rPr>
        <w:t>U</w:t>
      </w:r>
      <w:r>
        <w:rPr>
          <w:rFonts w:cs="Arial"/>
          <w:szCs w:val="20"/>
        </w:rPr>
        <w:t xml:space="preserve">sług </w:t>
      </w:r>
      <w:r w:rsidRPr="00586300">
        <w:rPr>
          <w:rFonts w:cs="Arial"/>
          <w:szCs w:val="20"/>
        </w:rPr>
        <w:t>R</w:t>
      </w:r>
      <w:r>
        <w:rPr>
          <w:rFonts w:cs="Arial"/>
          <w:szCs w:val="20"/>
        </w:rPr>
        <w:t>ozwojowych (BUR)</w:t>
      </w:r>
      <w:r w:rsidRPr="00586300">
        <w:rPr>
          <w:rFonts w:cs="Arial"/>
          <w:szCs w:val="20"/>
        </w:rPr>
        <w:t xml:space="preserve"> – koszt za 1 godzinę zegarową wsparcia doradczego. </w:t>
      </w:r>
      <w:r w:rsidRPr="00180BF1">
        <w:rPr>
          <w:rFonts w:cs="Arial"/>
          <w:szCs w:val="20"/>
        </w:rPr>
        <w:t xml:space="preserve">Do wyliczeń wzięto </w:t>
      </w:r>
      <w:r>
        <w:rPr>
          <w:rFonts w:cs="Arial"/>
          <w:szCs w:val="20"/>
        </w:rPr>
        <w:t xml:space="preserve">2 422 </w:t>
      </w:r>
      <w:r w:rsidRPr="00180BF1">
        <w:rPr>
          <w:rFonts w:cs="Arial"/>
          <w:szCs w:val="20"/>
        </w:rPr>
        <w:t>usług</w:t>
      </w:r>
      <w:r>
        <w:rPr>
          <w:rFonts w:cs="Arial"/>
          <w:szCs w:val="20"/>
        </w:rPr>
        <w:t>i</w:t>
      </w:r>
      <w:r w:rsidRPr="00180BF1">
        <w:rPr>
          <w:rFonts w:cs="Arial"/>
          <w:szCs w:val="20"/>
        </w:rPr>
        <w:t xml:space="preserve"> doradcz</w:t>
      </w:r>
      <w:r>
        <w:rPr>
          <w:rFonts w:cs="Arial"/>
          <w:szCs w:val="20"/>
        </w:rPr>
        <w:t>e</w:t>
      </w:r>
      <w:r w:rsidRPr="00180BF1">
        <w:rPr>
          <w:rFonts w:cs="Arial"/>
          <w:szCs w:val="20"/>
        </w:rPr>
        <w:t xml:space="preserve"> zlecon</w:t>
      </w:r>
      <w:r>
        <w:rPr>
          <w:rFonts w:cs="Arial"/>
          <w:szCs w:val="20"/>
        </w:rPr>
        <w:t>e</w:t>
      </w:r>
      <w:r w:rsidRPr="00180BF1">
        <w:rPr>
          <w:rFonts w:cs="Arial"/>
          <w:szCs w:val="20"/>
        </w:rPr>
        <w:t xml:space="preserve"> w </w:t>
      </w:r>
      <w:r>
        <w:rPr>
          <w:rFonts w:cs="Arial"/>
          <w:szCs w:val="20"/>
        </w:rPr>
        <w:t>okresie od 1.01.</w:t>
      </w:r>
      <w:r w:rsidRPr="00180BF1">
        <w:rPr>
          <w:rFonts w:cs="Arial"/>
          <w:szCs w:val="20"/>
        </w:rPr>
        <w:t>2023</w:t>
      </w:r>
      <w:r>
        <w:rPr>
          <w:rFonts w:cs="Arial"/>
          <w:szCs w:val="20"/>
        </w:rPr>
        <w:t xml:space="preserve"> r. do dnia wygenerowania raportu, tj. do 19.02.2024 r.</w:t>
      </w:r>
      <w:r w:rsidRPr="00180BF1">
        <w:rPr>
          <w:rFonts w:cs="Arial"/>
          <w:szCs w:val="20"/>
        </w:rPr>
        <w:t xml:space="preserve"> w kategoriach adekwatnych dla zakresu programu</w:t>
      </w:r>
      <w:r>
        <w:rPr>
          <w:rFonts w:cs="Arial"/>
          <w:szCs w:val="20"/>
        </w:rPr>
        <w:t xml:space="preserve"> FEPW:</w:t>
      </w:r>
      <w:r w:rsidRPr="00180BF1">
        <w:rPr>
          <w:rFonts w:cs="Arial"/>
          <w:szCs w:val="20"/>
        </w:rPr>
        <w:t xml:space="preserve"> </w:t>
      </w:r>
      <w:r>
        <w:rPr>
          <w:rFonts w:cs="Arial"/>
          <w:szCs w:val="20"/>
        </w:rPr>
        <w:t>ekologia i</w:t>
      </w:r>
      <w:r w:rsidRPr="00180BF1">
        <w:rPr>
          <w:rFonts w:cs="Arial"/>
          <w:szCs w:val="20"/>
        </w:rPr>
        <w:t>, finanse i bankowość</w:t>
      </w:r>
      <w:r>
        <w:rPr>
          <w:rFonts w:cs="Arial"/>
          <w:szCs w:val="20"/>
        </w:rPr>
        <w:t>,</w:t>
      </w:r>
      <w:r w:rsidRPr="00180BF1">
        <w:rPr>
          <w:rFonts w:cs="Arial"/>
          <w:szCs w:val="20"/>
        </w:rPr>
        <w:t xml:space="preserve"> informatyka i telekomunikacja</w:t>
      </w:r>
      <w:r>
        <w:rPr>
          <w:rFonts w:cs="Arial"/>
          <w:szCs w:val="20"/>
        </w:rPr>
        <w:t>,</w:t>
      </w:r>
      <w:r w:rsidRPr="00180BF1">
        <w:rPr>
          <w:rFonts w:cs="Arial"/>
          <w:szCs w:val="20"/>
        </w:rPr>
        <w:t xml:space="preserve"> prawo i administracja, </w:t>
      </w:r>
      <w:r>
        <w:rPr>
          <w:rFonts w:cs="Arial"/>
          <w:szCs w:val="20"/>
        </w:rPr>
        <w:t>biznes</w:t>
      </w:r>
      <w:r w:rsidRPr="00180BF1">
        <w:rPr>
          <w:rFonts w:cs="Arial"/>
          <w:szCs w:val="20"/>
        </w:rPr>
        <w:t>, techniczne, inne</w:t>
      </w:r>
      <w:r>
        <w:rPr>
          <w:rFonts w:cs="Arial"/>
          <w:szCs w:val="20"/>
        </w:rPr>
        <w:t xml:space="preserve"> </w:t>
      </w:r>
      <w:r>
        <w:rPr>
          <w:rStyle w:val="Odwoanieprzypisudolnego"/>
          <w:rFonts w:cs="Arial"/>
          <w:szCs w:val="20"/>
        </w:rPr>
        <w:footnoteReference w:id="9"/>
      </w:r>
      <w:r w:rsidRPr="00180BF1">
        <w:rPr>
          <w:rFonts w:cs="Arial"/>
          <w:szCs w:val="20"/>
        </w:rPr>
        <w:t>.</w:t>
      </w:r>
      <w:r w:rsidRPr="00C97704">
        <w:rPr>
          <w:rFonts w:cs="Arial"/>
          <w:szCs w:val="20"/>
        </w:rPr>
        <w:t xml:space="preserve"> </w:t>
      </w:r>
      <w:r w:rsidRPr="00143FCA">
        <w:rPr>
          <w:rFonts w:cs="Arial"/>
          <w:szCs w:val="20"/>
        </w:rPr>
        <w:t xml:space="preserve">Średnia cena 1h usługi doradczej brutto wyniosła  </w:t>
      </w:r>
      <w:r>
        <w:rPr>
          <w:rFonts w:cs="Arial"/>
          <w:szCs w:val="20"/>
        </w:rPr>
        <w:t>616,50 PLN</w:t>
      </w:r>
      <w:r w:rsidRPr="00143FCA">
        <w:rPr>
          <w:rFonts w:cs="Arial"/>
          <w:szCs w:val="20"/>
        </w:rPr>
        <w:t xml:space="preserve"> (co zaokrąglono do 6</w:t>
      </w:r>
      <w:r>
        <w:rPr>
          <w:rFonts w:cs="Arial"/>
          <w:szCs w:val="20"/>
        </w:rPr>
        <w:t>16</w:t>
      </w:r>
      <w:r w:rsidRPr="00143FCA">
        <w:rPr>
          <w:rFonts w:cs="Arial"/>
          <w:szCs w:val="20"/>
        </w:rPr>
        <w:t xml:space="preserve"> PLN). </w:t>
      </w:r>
    </w:p>
    <w:p w14:paraId="4AAD511D" w14:textId="07D08126" w:rsidR="00131249" w:rsidRDefault="00131249" w:rsidP="00131249">
      <w:pPr>
        <w:spacing w:before="60" w:after="60" w:line="276" w:lineRule="auto"/>
        <w:ind w:right="232"/>
        <w:jc w:val="both"/>
        <w:rPr>
          <w:rFonts w:cs="Arial"/>
          <w:szCs w:val="20"/>
        </w:rPr>
      </w:pPr>
      <w:r>
        <w:rPr>
          <w:rFonts w:cs="Arial"/>
          <w:szCs w:val="20"/>
        </w:rPr>
        <w:t xml:space="preserve">Szczegółowe dane oraz wyliczenia znajdują się w załączniku nr 1 w zakładce </w:t>
      </w:r>
      <w:r w:rsidRPr="00143FCA">
        <w:rPr>
          <w:rFonts w:cs="Arial"/>
          <w:i/>
          <w:iCs/>
          <w:szCs w:val="20"/>
        </w:rPr>
        <w:t>III. Wsparcie doradcze</w:t>
      </w:r>
      <w:r>
        <w:rPr>
          <w:rFonts w:cs="Arial"/>
          <w:szCs w:val="20"/>
        </w:rPr>
        <w:t xml:space="preserve"> oraz załączniku nr 3. </w:t>
      </w:r>
    </w:p>
    <w:p w14:paraId="6FB9D8C4" w14:textId="243019C5" w:rsidR="00091219" w:rsidRDefault="00131249" w:rsidP="00131249">
      <w:pPr>
        <w:spacing w:before="60" w:after="60" w:line="276" w:lineRule="auto"/>
        <w:ind w:right="232"/>
        <w:jc w:val="both"/>
        <w:rPr>
          <w:rFonts w:cs="Arial"/>
          <w:szCs w:val="20"/>
        </w:rPr>
      </w:pPr>
      <w:r w:rsidRPr="00143FCA">
        <w:rPr>
          <w:rFonts w:cs="Arial"/>
          <w:szCs w:val="20"/>
        </w:rPr>
        <w:t>IZ zdecydowała się na uwzględnienie tych danych</w:t>
      </w:r>
      <w:r>
        <w:rPr>
          <w:rFonts w:cs="Arial"/>
          <w:szCs w:val="20"/>
        </w:rPr>
        <w:t>,</w:t>
      </w:r>
      <w:r w:rsidRPr="00143FCA">
        <w:rPr>
          <w:rFonts w:cs="Arial"/>
          <w:szCs w:val="20"/>
        </w:rPr>
        <w:t xml:space="preserve"> ponieważ BUR zawiera wiarygodne, zweryfikowane, zbiorcze dane o cenach usługi wsparcia doradczego.</w:t>
      </w:r>
    </w:p>
    <w:p w14:paraId="57A934C5" w14:textId="0DC454CF" w:rsidR="00AD1281" w:rsidRPr="00A70C6E" w:rsidRDefault="00AD1281" w:rsidP="00131249">
      <w:pPr>
        <w:spacing w:before="60" w:after="60" w:line="276" w:lineRule="auto"/>
        <w:ind w:right="232"/>
        <w:jc w:val="both"/>
        <w:rPr>
          <w:rFonts w:cs="Arial"/>
          <w:szCs w:val="20"/>
        </w:rPr>
      </w:pPr>
      <w:r w:rsidRPr="00AD1281">
        <w:rPr>
          <w:rFonts w:cs="Arial"/>
          <w:szCs w:val="20"/>
        </w:rPr>
        <w:t>Dane oraz wyliczenia będą przechowywane na dysku sieciowym IZ w okresie wskazanym w art. 82 Rozporządzenia PE i Rady (UE) 2021/1060, tj. do 5 lat od końca roku, w którym nastąpiła ostatnia płatność na rzecz beneficjenta.</w:t>
      </w:r>
    </w:p>
    <w:p w14:paraId="6055AD07" w14:textId="5DE048D0" w:rsidR="006B3ADE" w:rsidRPr="005F7602" w:rsidRDefault="007C4A09" w:rsidP="00BE11EA">
      <w:pPr>
        <w:pStyle w:val="Akapitzlist"/>
        <w:numPr>
          <w:ilvl w:val="0"/>
          <w:numId w:val="26"/>
        </w:numPr>
        <w:spacing w:before="120" w:after="120" w:line="276" w:lineRule="auto"/>
        <w:jc w:val="both"/>
        <w:rPr>
          <w:rFonts w:cs="Arial"/>
          <w:b/>
          <w:smallCaps/>
          <w:szCs w:val="20"/>
        </w:rPr>
      </w:pPr>
      <w:r w:rsidRPr="005F7602">
        <w:rPr>
          <w:rFonts w:cs="Arial"/>
          <w:b/>
          <w:smallCaps/>
          <w:szCs w:val="20"/>
        </w:rPr>
        <w:t>sposób zapewni</w:t>
      </w:r>
      <w:r w:rsidR="002D2485">
        <w:rPr>
          <w:rFonts w:cs="Arial"/>
          <w:b/>
          <w:smallCaps/>
          <w:szCs w:val="20"/>
        </w:rPr>
        <w:t>enia</w:t>
      </w:r>
      <w:r w:rsidRPr="005F7602">
        <w:rPr>
          <w:rFonts w:cs="Arial"/>
          <w:b/>
          <w:smallCaps/>
          <w:szCs w:val="20"/>
        </w:rPr>
        <w:t>, by jedynie wydatki kwalifikowalne były uwzględniane przy obliczaniu standardowych stawek jednostkowych,</w:t>
      </w:r>
      <w:r w:rsidR="00F624B1" w:rsidRPr="005F7602">
        <w:rPr>
          <w:rFonts w:cs="Arial"/>
          <w:b/>
          <w:smallCaps/>
          <w:szCs w:val="20"/>
        </w:rPr>
        <w:t xml:space="preserve"> </w:t>
      </w:r>
      <w:r w:rsidRPr="005F7602">
        <w:rPr>
          <w:rFonts w:cs="Arial"/>
          <w:b/>
          <w:smallCaps/>
          <w:szCs w:val="20"/>
        </w:rPr>
        <w:t>kwot ryczałtowych lub stawek ryczałtowych:</w:t>
      </w:r>
    </w:p>
    <w:p w14:paraId="51DBC3BA" w14:textId="00563C05" w:rsidR="00150061" w:rsidRDefault="00150061" w:rsidP="007E08CA">
      <w:pPr>
        <w:spacing w:before="60" w:after="60" w:line="276" w:lineRule="auto"/>
        <w:ind w:left="269" w:right="232"/>
        <w:jc w:val="both"/>
        <w:rPr>
          <w:rFonts w:cs="Arial"/>
          <w:szCs w:val="20"/>
        </w:rPr>
      </w:pPr>
      <w:r w:rsidRPr="00A70C6E">
        <w:rPr>
          <w:rFonts w:cs="Arial"/>
          <w:szCs w:val="20"/>
        </w:rPr>
        <w:t>Stawki jednostkowe obejmują wyłącznie kwalifikowalne kwot</w:t>
      </w:r>
      <w:r w:rsidR="00B16817" w:rsidRPr="00A70C6E">
        <w:rPr>
          <w:rFonts w:cs="Arial"/>
          <w:szCs w:val="20"/>
        </w:rPr>
        <w:t>y wynikające ze zweryfikowanych  danych historycznych dotyczących poprzedniej perspektywy finansowej, analizy cen rynkowych, obowiązujących przepisów prawa powszechnego</w:t>
      </w:r>
      <w:r w:rsidR="00AD1281">
        <w:rPr>
          <w:rFonts w:cs="Arial"/>
          <w:szCs w:val="20"/>
        </w:rPr>
        <w:t>,</w:t>
      </w:r>
      <w:r w:rsidR="00AD1281" w:rsidRPr="00AD1281">
        <w:t xml:space="preserve"> </w:t>
      </w:r>
      <w:r w:rsidR="00AD1281" w:rsidRPr="00AD1281">
        <w:rPr>
          <w:rFonts w:cs="Arial"/>
          <w:szCs w:val="20"/>
        </w:rPr>
        <w:t>a więc wydatki zgodne z założeniami dotyczącymi EFRR</w:t>
      </w:r>
      <w:r w:rsidR="00B16817" w:rsidRPr="00A70C6E">
        <w:rPr>
          <w:rFonts w:cs="Arial"/>
          <w:szCs w:val="20"/>
        </w:rPr>
        <w:t xml:space="preserve"> </w:t>
      </w:r>
      <w:r w:rsidRPr="00A70C6E">
        <w:rPr>
          <w:rFonts w:cs="Arial"/>
          <w:szCs w:val="20"/>
        </w:rPr>
        <w:t>W wyliczeniu stawek nie uwzględniono żadnych wydatków niekwalifikowalnych, zgodnie z zasadami unijnymi (wymogami rozporządzenia ogólnego</w:t>
      </w:r>
      <w:r w:rsidR="00AD1281" w:rsidRPr="00AD1281">
        <w:t xml:space="preserve"> </w:t>
      </w:r>
      <w:r w:rsidR="00AD1281" w:rsidRPr="00AD1281">
        <w:rPr>
          <w:rFonts w:cs="Arial"/>
          <w:szCs w:val="20"/>
        </w:rPr>
        <w:t>czy rozporządzenia dotyczącego EFRR</w:t>
      </w:r>
      <w:r w:rsidRPr="00A70C6E">
        <w:rPr>
          <w:rFonts w:cs="Arial"/>
          <w:szCs w:val="20"/>
        </w:rPr>
        <w:t xml:space="preserve">), a także wymogami krajowymi. </w:t>
      </w:r>
    </w:p>
    <w:p w14:paraId="061F469D" w14:textId="77777777" w:rsidR="00AD1281" w:rsidRDefault="00AD1281" w:rsidP="007E08CA">
      <w:pPr>
        <w:spacing w:before="60" w:after="60" w:line="276" w:lineRule="auto"/>
        <w:ind w:left="269" w:right="232"/>
        <w:jc w:val="both"/>
        <w:rPr>
          <w:rFonts w:cs="Arial"/>
          <w:szCs w:val="20"/>
        </w:rPr>
      </w:pPr>
    </w:p>
    <w:p w14:paraId="76F09CC5" w14:textId="77777777" w:rsidR="005B0B35" w:rsidRPr="00A70C6E" w:rsidRDefault="005B0B35" w:rsidP="007E08CA">
      <w:pPr>
        <w:spacing w:before="120" w:after="120" w:line="276" w:lineRule="auto"/>
        <w:ind w:left="284"/>
        <w:jc w:val="both"/>
        <w:rPr>
          <w:rFonts w:cs="Arial"/>
          <w:szCs w:val="20"/>
        </w:rPr>
      </w:pPr>
    </w:p>
    <w:p w14:paraId="07BB287B" w14:textId="71B7FB2E" w:rsidR="007C4A09" w:rsidRDefault="007C4A09" w:rsidP="00BE11EA">
      <w:pPr>
        <w:pStyle w:val="Akapitzlist"/>
        <w:numPr>
          <w:ilvl w:val="0"/>
          <w:numId w:val="26"/>
        </w:numPr>
        <w:spacing w:before="120" w:after="120" w:line="276" w:lineRule="auto"/>
        <w:jc w:val="both"/>
        <w:rPr>
          <w:rFonts w:cs="Arial"/>
          <w:b/>
          <w:smallCaps/>
          <w:szCs w:val="20"/>
        </w:rPr>
      </w:pPr>
      <w:r w:rsidRPr="00A70C6E">
        <w:rPr>
          <w:rFonts w:cs="Arial"/>
          <w:b/>
          <w:smallCaps/>
          <w:szCs w:val="20"/>
        </w:rPr>
        <w:lastRenderedPageBreak/>
        <w:t xml:space="preserve">Ocena przez instytucję(-e) audytową(-e) metody obliczania i kwot oraz rozwiązań mających zapewnić weryfikację danych, ich jakość, sposób gromadzenia </w:t>
      </w:r>
      <w:r w:rsidR="00964012" w:rsidRPr="00A70C6E">
        <w:rPr>
          <w:rFonts w:cs="Arial"/>
          <w:b/>
          <w:smallCaps/>
          <w:szCs w:val="20"/>
        </w:rPr>
        <w:br/>
      </w:r>
      <w:r w:rsidRPr="003A24EE">
        <w:rPr>
          <w:rFonts w:cs="Arial"/>
          <w:b/>
          <w:smallCaps/>
          <w:szCs w:val="20"/>
        </w:rPr>
        <w:t>i przechowywania:</w:t>
      </w:r>
    </w:p>
    <w:p w14:paraId="60CAD77C" w14:textId="60B98A7C" w:rsidR="003A24EE" w:rsidRDefault="003A24EE" w:rsidP="003A24EE">
      <w:pPr>
        <w:spacing w:before="120" w:after="120" w:line="276" w:lineRule="auto"/>
        <w:jc w:val="both"/>
        <w:rPr>
          <w:rFonts w:cs="Arial"/>
          <w:b/>
          <w:smallCaps/>
          <w:szCs w:val="20"/>
        </w:rPr>
      </w:pPr>
    </w:p>
    <w:p w14:paraId="49029A1A" w14:textId="7D38653E" w:rsidR="003A24EE" w:rsidRPr="00C97704" w:rsidRDefault="003A24EE" w:rsidP="00C97704">
      <w:pPr>
        <w:pStyle w:val="Akapitzlist"/>
        <w:spacing w:before="120" w:after="120" w:line="276" w:lineRule="auto"/>
        <w:jc w:val="both"/>
        <w:rPr>
          <w:rFonts w:cs="Arial"/>
          <w:b/>
          <w:smallCaps/>
          <w:szCs w:val="20"/>
        </w:rPr>
      </w:pPr>
      <w:r w:rsidRPr="00C97704">
        <w:rPr>
          <w:rFonts w:cs="Arial"/>
          <w:b/>
          <w:smallCaps/>
          <w:szCs w:val="20"/>
        </w:rPr>
        <w:t>Załączniki:</w:t>
      </w:r>
    </w:p>
    <w:p w14:paraId="5657814D" w14:textId="0ECAE492" w:rsidR="00D80B49" w:rsidRPr="00D80B49" w:rsidRDefault="00D80B49" w:rsidP="00D80B49">
      <w:pPr>
        <w:pStyle w:val="Akapitzlist"/>
        <w:numPr>
          <w:ilvl w:val="0"/>
          <w:numId w:val="48"/>
        </w:numPr>
        <w:jc w:val="both"/>
        <w:rPr>
          <w:rFonts w:cs="Arial"/>
          <w:bCs/>
          <w:smallCaps/>
          <w:sz w:val="18"/>
          <w:szCs w:val="18"/>
        </w:rPr>
      </w:pPr>
      <w:r w:rsidRPr="00D80B49">
        <w:rPr>
          <w:rFonts w:cs="Arial"/>
          <w:bCs/>
          <w:smallCaps/>
          <w:szCs w:val="20"/>
        </w:rPr>
        <w:t>I</w:t>
      </w:r>
      <w:r w:rsidRPr="00D80B49">
        <w:rPr>
          <w:rFonts w:cs="Arial"/>
          <w:bCs/>
          <w:smallCaps/>
          <w:sz w:val="18"/>
          <w:szCs w:val="18"/>
        </w:rPr>
        <w:t xml:space="preserve">NFORMACJE ORAZ WYLICZENIA </w:t>
      </w:r>
      <w:r>
        <w:rPr>
          <w:rFonts w:cs="Arial"/>
          <w:bCs/>
          <w:smallCaps/>
          <w:sz w:val="18"/>
          <w:szCs w:val="18"/>
        </w:rPr>
        <w:t xml:space="preserve">DOTYCZĄCE </w:t>
      </w:r>
      <w:r w:rsidRPr="00D80B49">
        <w:rPr>
          <w:rFonts w:cs="Arial"/>
          <w:bCs/>
          <w:smallCaps/>
          <w:sz w:val="18"/>
          <w:szCs w:val="18"/>
        </w:rPr>
        <w:t xml:space="preserve">STAWEK JEDNOSTKOWYCH </w:t>
      </w:r>
    </w:p>
    <w:p w14:paraId="241BF42F" w14:textId="7177A1C8" w:rsidR="00D80B49" w:rsidRPr="00D80B49" w:rsidRDefault="00D80B49" w:rsidP="00D80B49">
      <w:pPr>
        <w:pStyle w:val="Akapitzlist"/>
        <w:numPr>
          <w:ilvl w:val="0"/>
          <w:numId w:val="48"/>
        </w:numPr>
        <w:jc w:val="both"/>
        <w:rPr>
          <w:rFonts w:cs="Arial"/>
          <w:bCs/>
          <w:smallCaps/>
          <w:sz w:val="18"/>
          <w:szCs w:val="18"/>
        </w:rPr>
      </w:pPr>
      <w:r w:rsidRPr="00D80B49">
        <w:rPr>
          <w:rFonts w:cs="Arial"/>
          <w:bCs/>
          <w:smallCaps/>
          <w:sz w:val="18"/>
          <w:szCs w:val="18"/>
        </w:rPr>
        <w:t>RAPORT BUR DOTYCZĄCY USŁUG SZKOLENIOWYCH WRAZ Z WYLICZENIAMI</w:t>
      </w:r>
    </w:p>
    <w:p w14:paraId="1C5C1D86" w14:textId="292A0A19" w:rsidR="00D80B49" w:rsidRDefault="00D80B49" w:rsidP="00D80B49">
      <w:pPr>
        <w:pStyle w:val="Akapitzlist"/>
        <w:numPr>
          <w:ilvl w:val="0"/>
          <w:numId w:val="48"/>
        </w:numPr>
        <w:jc w:val="both"/>
        <w:rPr>
          <w:rFonts w:cs="Arial"/>
          <w:bCs/>
          <w:smallCaps/>
          <w:sz w:val="18"/>
          <w:szCs w:val="18"/>
        </w:rPr>
      </w:pPr>
      <w:r w:rsidRPr="00D80B49">
        <w:rPr>
          <w:rFonts w:cs="Arial"/>
          <w:bCs/>
          <w:smallCaps/>
          <w:sz w:val="18"/>
          <w:szCs w:val="18"/>
        </w:rPr>
        <w:t>RAPORT BUR DOTYCZĄCY USŁUG DORADCZYCH WRAZ Z WYLICZENIAMI</w:t>
      </w:r>
    </w:p>
    <w:p w14:paraId="328D7FD9" w14:textId="3BD10DFF" w:rsidR="003A24EE" w:rsidRPr="00585461" w:rsidRDefault="003A24EE" w:rsidP="00585461">
      <w:pPr>
        <w:pStyle w:val="Akapitzlist"/>
        <w:spacing w:before="120" w:after="120" w:line="276" w:lineRule="auto"/>
        <w:jc w:val="both"/>
        <w:rPr>
          <w:rFonts w:cs="Arial"/>
          <w:bCs/>
          <w:smallCaps/>
          <w:sz w:val="18"/>
          <w:szCs w:val="18"/>
        </w:rPr>
      </w:pPr>
    </w:p>
    <w:sectPr w:rsidR="003A24EE" w:rsidRPr="00585461" w:rsidSect="001041BE">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16A94" w14:textId="77777777" w:rsidR="006717A0" w:rsidRDefault="006717A0" w:rsidP="00B51645">
      <w:pPr>
        <w:spacing w:after="0" w:line="240" w:lineRule="auto"/>
      </w:pPr>
      <w:r>
        <w:separator/>
      </w:r>
    </w:p>
  </w:endnote>
  <w:endnote w:type="continuationSeparator" w:id="0">
    <w:p w14:paraId="68D3A366" w14:textId="77777777" w:rsidR="006717A0" w:rsidRDefault="006717A0" w:rsidP="00B51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47041"/>
      <w:docPartObj>
        <w:docPartGallery w:val="Page Numbers (Bottom of Page)"/>
        <w:docPartUnique/>
      </w:docPartObj>
    </w:sdtPr>
    <w:sdtEndPr/>
    <w:sdtContent>
      <w:p w14:paraId="6DA57E79" w14:textId="77777777" w:rsidR="000B14A5" w:rsidRDefault="000B14A5">
        <w:pPr>
          <w:pStyle w:val="Stopka"/>
          <w:jc w:val="right"/>
        </w:pPr>
        <w:r>
          <w:t xml:space="preserve">Strona | </w:t>
        </w:r>
        <w:r>
          <w:fldChar w:fldCharType="begin"/>
        </w:r>
        <w:r>
          <w:instrText>PAGE   \* MERGEFORMAT</w:instrText>
        </w:r>
        <w:r>
          <w:fldChar w:fldCharType="separate"/>
        </w:r>
        <w:r w:rsidR="007A3FED">
          <w:rPr>
            <w:noProof/>
          </w:rPr>
          <w:t>2</w:t>
        </w:r>
        <w:r>
          <w:fldChar w:fldCharType="end"/>
        </w:r>
        <w:r>
          <w:t xml:space="preserve"> </w:t>
        </w:r>
      </w:p>
    </w:sdtContent>
  </w:sdt>
  <w:p w14:paraId="00F1DCC6" w14:textId="77777777" w:rsidR="000B14A5" w:rsidRDefault="000B14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A680E" w14:textId="77777777" w:rsidR="006717A0" w:rsidRDefault="006717A0" w:rsidP="00B51645">
      <w:pPr>
        <w:spacing w:after="0" w:line="240" w:lineRule="auto"/>
      </w:pPr>
      <w:r>
        <w:separator/>
      </w:r>
    </w:p>
  </w:footnote>
  <w:footnote w:type="continuationSeparator" w:id="0">
    <w:p w14:paraId="1E5A662A" w14:textId="77777777" w:rsidR="006717A0" w:rsidRDefault="006717A0" w:rsidP="00B51645">
      <w:pPr>
        <w:spacing w:after="0" w:line="240" w:lineRule="auto"/>
      </w:pPr>
      <w:r>
        <w:continuationSeparator/>
      </w:r>
    </w:p>
  </w:footnote>
  <w:footnote w:id="1">
    <w:p w14:paraId="19D3AB12" w14:textId="77777777" w:rsidR="000B14A5" w:rsidRPr="004C6504" w:rsidRDefault="000B14A5" w:rsidP="00BB247E">
      <w:pPr>
        <w:pStyle w:val="Tekstprzypisudolnego"/>
        <w:spacing w:before="60" w:after="60"/>
        <w:rPr>
          <w:sz w:val="16"/>
          <w:szCs w:val="16"/>
        </w:rPr>
      </w:pPr>
      <w:r w:rsidRPr="004C6504">
        <w:rPr>
          <w:rStyle w:val="Odwoanieprzypisudolnego"/>
          <w:sz w:val="16"/>
          <w:szCs w:val="16"/>
        </w:rPr>
        <w:footnoteRef/>
      </w:r>
      <w:r w:rsidRPr="004C6504">
        <w:rPr>
          <w:sz w:val="16"/>
          <w:szCs w:val="16"/>
        </w:rPr>
        <w:t xml:space="preserve"> Oznacza kod dla wymiaru „Zakres interwencji” w tabeli 1 załącznika I do rozporządzenia w sprawie wspólnych przepisów oraz w załączniku IV do rozporządzenia w sprawie EFMRA.</w:t>
      </w:r>
    </w:p>
  </w:footnote>
  <w:footnote w:id="2">
    <w:p w14:paraId="6856968C" w14:textId="77777777" w:rsidR="000B14A5" w:rsidRDefault="000B14A5" w:rsidP="00BB247E">
      <w:pPr>
        <w:pStyle w:val="Tekstprzypisudolnego"/>
        <w:spacing w:before="60" w:after="60"/>
      </w:pPr>
      <w:r w:rsidRPr="004C6504">
        <w:rPr>
          <w:rStyle w:val="Odwoanieprzypisudolnego"/>
          <w:sz w:val="16"/>
          <w:szCs w:val="16"/>
        </w:rPr>
        <w:footnoteRef/>
      </w:r>
      <w:r w:rsidRPr="004C6504">
        <w:rPr>
          <w:sz w:val="16"/>
          <w:szCs w:val="16"/>
        </w:rPr>
        <w:t xml:space="preserve"> Oznacza kod wspólnego wskaźnika, o ile ma zastosowanie.</w:t>
      </w:r>
    </w:p>
  </w:footnote>
  <w:footnote w:id="3">
    <w:p w14:paraId="7141EC08" w14:textId="48458348" w:rsidR="002D05C7" w:rsidRDefault="002D05C7">
      <w:pPr>
        <w:pStyle w:val="Tekstprzypisudolnego"/>
      </w:pPr>
      <w:r>
        <w:rPr>
          <w:rStyle w:val="Odwoanieprzypisudolnego"/>
        </w:rPr>
        <w:footnoteRef/>
      </w:r>
      <w:r>
        <w:t xml:space="preserve"> </w:t>
      </w:r>
      <w:r w:rsidRPr="002D05C7">
        <w:rPr>
          <w:sz w:val="16"/>
          <w:szCs w:val="16"/>
        </w:rPr>
        <w:t>Przez partnera należy rozumieć instytucję, która wyznaczyła swoich przedstawicieli do uczestnictwa w pracach KM w charakterze członka komitetu lub jego zastępcy</w:t>
      </w:r>
    </w:p>
  </w:footnote>
  <w:footnote w:id="4">
    <w:p w14:paraId="5CDA5DDC" w14:textId="77777777" w:rsidR="000B14A5" w:rsidRPr="007160B8" w:rsidRDefault="000B14A5" w:rsidP="00BB247E">
      <w:pPr>
        <w:pStyle w:val="Tekstprzypisudolnego"/>
        <w:spacing w:before="60" w:after="60"/>
        <w:jc w:val="both"/>
        <w:rPr>
          <w:sz w:val="16"/>
          <w:szCs w:val="16"/>
        </w:rPr>
      </w:pPr>
      <w:r w:rsidRPr="007160B8">
        <w:rPr>
          <w:rStyle w:val="Odwoanieprzypisudolnego"/>
          <w:sz w:val="16"/>
          <w:szCs w:val="16"/>
        </w:rPr>
        <w:footnoteRef/>
      </w:r>
      <w:r w:rsidRPr="007160B8">
        <w:rPr>
          <w:sz w:val="16"/>
          <w:szCs w:val="16"/>
        </w:rPr>
        <w:t xml:space="preserve"> Przewidywana data rozpoczęcia wyboru operacji i przewidywana data ich ukończenia (zob. art. 63 ust. 5 rozporządzenia w sprawie wspólnych przepisów).</w:t>
      </w:r>
    </w:p>
  </w:footnote>
  <w:footnote w:id="5">
    <w:p w14:paraId="404FBB6E" w14:textId="77777777" w:rsidR="000B14A5" w:rsidRDefault="000B14A5" w:rsidP="00BB247E">
      <w:pPr>
        <w:pStyle w:val="Tekstprzypisudolnego"/>
        <w:spacing w:before="60" w:after="60"/>
        <w:jc w:val="both"/>
      </w:pPr>
      <w:r w:rsidRPr="007160B8">
        <w:rPr>
          <w:rStyle w:val="Odwoanieprzypisudolnego"/>
          <w:sz w:val="16"/>
        </w:rPr>
        <w:footnoteRef/>
      </w:r>
      <w:r w:rsidRPr="007160B8">
        <w:rPr>
          <w:sz w:val="16"/>
        </w:rPr>
        <w:t xml:space="preserve"> W przypadku operacji, w ramach których stosowanych jest kilka uproszczonych metod rozliczania kosztów, obejmujących różne kategorie kosztów, różne projekty lub kolejne etapy operacji, </w:t>
      </w:r>
      <w:r>
        <w:rPr>
          <w:sz w:val="16"/>
        </w:rPr>
        <w:br/>
      </w:r>
      <w:r w:rsidRPr="007160B8">
        <w:rPr>
          <w:sz w:val="16"/>
        </w:rPr>
        <w:t>pola 3-11 należy wypełnić dla każdego wskaźnika uruchamiającego refundację kosztów.</w:t>
      </w:r>
    </w:p>
  </w:footnote>
  <w:footnote w:id="6">
    <w:p w14:paraId="5A8A85B4" w14:textId="4F6A3B3D" w:rsidR="0037363F" w:rsidRPr="00292749" w:rsidRDefault="0037363F" w:rsidP="0037363F">
      <w:pPr>
        <w:pStyle w:val="Tekstprzypisudolnego"/>
        <w:rPr>
          <w:sz w:val="16"/>
          <w:szCs w:val="16"/>
        </w:rPr>
      </w:pPr>
      <w:r w:rsidRPr="00292749">
        <w:rPr>
          <w:rStyle w:val="Odwoanieprzypisudolnego"/>
          <w:sz w:val="16"/>
          <w:szCs w:val="16"/>
        </w:rPr>
        <w:footnoteRef/>
      </w:r>
      <w:r w:rsidRPr="00292749">
        <w:rPr>
          <w:sz w:val="16"/>
          <w:szCs w:val="16"/>
        </w:rPr>
        <w:t xml:space="preserve"> Stawka będzie wynosić max. </w:t>
      </w:r>
      <w:r w:rsidR="009759BB">
        <w:rPr>
          <w:sz w:val="16"/>
          <w:szCs w:val="16"/>
        </w:rPr>
        <w:t>5</w:t>
      </w:r>
      <w:r w:rsidRPr="00292749">
        <w:rPr>
          <w:sz w:val="16"/>
          <w:szCs w:val="16"/>
        </w:rPr>
        <w:t>0 godzin usługi (</w:t>
      </w:r>
      <w:r w:rsidR="009759BB">
        <w:rPr>
          <w:sz w:val="16"/>
          <w:szCs w:val="16"/>
        </w:rPr>
        <w:t>5</w:t>
      </w:r>
      <w:r w:rsidRPr="00292749">
        <w:rPr>
          <w:sz w:val="16"/>
          <w:szCs w:val="16"/>
        </w:rPr>
        <w:t xml:space="preserve"> lat x max. </w:t>
      </w:r>
      <w:r w:rsidRPr="00B460E0">
        <w:rPr>
          <w:sz w:val="16"/>
          <w:szCs w:val="16"/>
        </w:rPr>
        <w:t>10 godzin)</w:t>
      </w:r>
      <w:r w:rsidRPr="00292749">
        <w:rPr>
          <w:sz w:val="16"/>
          <w:szCs w:val="16"/>
        </w:rPr>
        <w:t xml:space="preserve"> do wykorzystania w dowolnym rozkładzie na lata.</w:t>
      </w:r>
    </w:p>
  </w:footnote>
  <w:footnote w:id="7">
    <w:p w14:paraId="195531D1" w14:textId="77777777" w:rsidR="00FB46DC" w:rsidRDefault="00FB46DC" w:rsidP="00BB247E">
      <w:pPr>
        <w:pStyle w:val="Tekstprzypisudolnego"/>
        <w:spacing w:before="60" w:after="60"/>
      </w:pPr>
      <w:r w:rsidRPr="009C535E">
        <w:rPr>
          <w:rStyle w:val="Odwoanieprzypisudolnego"/>
          <w:sz w:val="16"/>
        </w:rPr>
        <w:footnoteRef/>
      </w:r>
      <w:r w:rsidRPr="009C535E">
        <w:rPr>
          <w:sz w:val="16"/>
        </w:rPr>
        <w:t xml:space="preserve"> W stosownych przypadkach należy wskazać częstotliwość i termin korekty oraz wyraźne odniesienie do konkretnego wskaźnika (w tym, w stosownych przypadkach, link do strony internetowej, </w:t>
      </w:r>
      <w:r>
        <w:rPr>
          <w:sz w:val="16"/>
        </w:rPr>
        <w:br/>
      </w:r>
      <w:r w:rsidRPr="009C535E">
        <w:rPr>
          <w:sz w:val="16"/>
        </w:rPr>
        <w:t>na której opublikowano ten wskaźnik).</w:t>
      </w:r>
    </w:p>
  </w:footnote>
  <w:footnote w:id="8">
    <w:p w14:paraId="7464E9C7" w14:textId="77777777" w:rsidR="00FB46DC" w:rsidRDefault="00FB46DC" w:rsidP="00BB247E">
      <w:pPr>
        <w:pStyle w:val="Tekstprzypisudolnego"/>
      </w:pPr>
      <w:r>
        <w:rPr>
          <w:rStyle w:val="Odwoanieprzypisudolnego"/>
        </w:rPr>
        <w:footnoteRef/>
      </w:r>
      <w:r>
        <w:t xml:space="preserve"> </w:t>
      </w:r>
      <w:r w:rsidRPr="00927EC8">
        <w:rPr>
          <w:sz w:val="16"/>
        </w:rPr>
        <w:t>Czy istnieją jakiekolwiek potencjalne negatywne skutki dla jakości wspieranych operacji, a jeśli tak, to jakie środki (np. zapewnienie jakości) zostaną podjęte w celu ograniczenia tego ryzyka?</w:t>
      </w:r>
    </w:p>
  </w:footnote>
  <w:footnote w:id="9">
    <w:p w14:paraId="1CB8D283" w14:textId="3AA52033" w:rsidR="00131249" w:rsidRDefault="00131249">
      <w:pPr>
        <w:pStyle w:val="Tekstprzypisudolnego"/>
      </w:pPr>
      <w:r>
        <w:rPr>
          <w:rStyle w:val="Odwoanieprzypisudolnego"/>
        </w:rPr>
        <w:footnoteRef/>
      </w:r>
      <w:r>
        <w:t xml:space="preserve"> W kategorii </w:t>
      </w:r>
      <w:r w:rsidRPr="00131249">
        <w:rPr>
          <w:i/>
          <w:iCs/>
        </w:rPr>
        <w:t>Inne</w:t>
      </w:r>
      <w:r>
        <w:t xml:space="preserve"> skorzystano z podkategorii </w:t>
      </w:r>
      <w:r w:rsidRPr="00131249">
        <w:rPr>
          <w:i/>
          <w:iCs/>
        </w:rPr>
        <w:t>Turystyka i hotelarstwo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51A8F" w14:textId="79D4CA01" w:rsidR="000B14A5" w:rsidRDefault="00B0515B" w:rsidP="00B0515B">
    <w:pPr>
      <w:pStyle w:val="Nagwek"/>
      <w:jc w:val="center"/>
    </w:pPr>
    <w:r>
      <w:rPr>
        <w:noProof/>
      </w:rPr>
      <w:drawing>
        <wp:inline distT="0" distB="0" distL="0" distR="0" wp14:anchorId="73567C93" wp14:editId="7C60A0C7">
          <wp:extent cx="7509857" cy="815389"/>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69036" cy="8218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028"/>
    <w:multiLevelType w:val="hybridMultilevel"/>
    <w:tmpl w:val="36942046"/>
    <w:lvl w:ilvl="0" w:tplc="AD24BC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BF6AA7"/>
    <w:multiLevelType w:val="hybridMultilevel"/>
    <w:tmpl w:val="87F2DD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E0A46"/>
    <w:multiLevelType w:val="hybridMultilevel"/>
    <w:tmpl w:val="74A69C22"/>
    <w:lvl w:ilvl="0" w:tplc="04150001">
      <w:start w:val="1"/>
      <w:numFmt w:val="bullet"/>
      <w:lvlText w:val=""/>
      <w:lvlJc w:val="left"/>
      <w:pPr>
        <w:ind w:left="1401" w:hanging="360"/>
      </w:pPr>
      <w:rPr>
        <w:rFonts w:ascii="Symbol" w:hAnsi="Symbol" w:hint="default"/>
      </w:rPr>
    </w:lvl>
    <w:lvl w:ilvl="1" w:tplc="04150003" w:tentative="1">
      <w:start w:val="1"/>
      <w:numFmt w:val="bullet"/>
      <w:lvlText w:val="o"/>
      <w:lvlJc w:val="left"/>
      <w:pPr>
        <w:ind w:left="2121" w:hanging="360"/>
      </w:pPr>
      <w:rPr>
        <w:rFonts w:ascii="Courier New" w:hAnsi="Courier New" w:cs="Courier New" w:hint="default"/>
      </w:rPr>
    </w:lvl>
    <w:lvl w:ilvl="2" w:tplc="04150005" w:tentative="1">
      <w:start w:val="1"/>
      <w:numFmt w:val="bullet"/>
      <w:lvlText w:val=""/>
      <w:lvlJc w:val="left"/>
      <w:pPr>
        <w:ind w:left="2841" w:hanging="360"/>
      </w:pPr>
      <w:rPr>
        <w:rFonts w:ascii="Wingdings" w:hAnsi="Wingdings" w:hint="default"/>
      </w:rPr>
    </w:lvl>
    <w:lvl w:ilvl="3" w:tplc="04150001" w:tentative="1">
      <w:start w:val="1"/>
      <w:numFmt w:val="bullet"/>
      <w:lvlText w:val=""/>
      <w:lvlJc w:val="left"/>
      <w:pPr>
        <w:ind w:left="3561" w:hanging="360"/>
      </w:pPr>
      <w:rPr>
        <w:rFonts w:ascii="Symbol" w:hAnsi="Symbol" w:hint="default"/>
      </w:rPr>
    </w:lvl>
    <w:lvl w:ilvl="4" w:tplc="04150003" w:tentative="1">
      <w:start w:val="1"/>
      <w:numFmt w:val="bullet"/>
      <w:lvlText w:val="o"/>
      <w:lvlJc w:val="left"/>
      <w:pPr>
        <w:ind w:left="4281" w:hanging="360"/>
      </w:pPr>
      <w:rPr>
        <w:rFonts w:ascii="Courier New" w:hAnsi="Courier New" w:cs="Courier New" w:hint="default"/>
      </w:rPr>
    </w:lvl>
    <w:lvl w:ilvl="5" w:tplc="04150005" w:tentative="1">
      <w:start w:val="1"/>
      <w:numFmt w:val="bullet"/>
      <w:lvlText w:val=""/>
      <w:lvlJc w:val="left"/>
      <w:pPr>
        <w:ind w:left="5001" w:hanging="360"/>
      </w:pPr>
      <w:rPr>
        <w:rFonts w:ascii="Wingdings" w:hAnsi="Wingdings" w:hint="default"/>
      </w:rPr>
    </w:lvl>
    <w:lvl w:ilvl="6" w:tplc="04150001" w:tentative="1">
      <w:start w:val="1"/>
      <w:numFmt w:val="bullet"/>
      <w:lvlText w:val=""/>
      <w:lvlJc w:val="left"/>
      <w:pPr>
        <w:ind w:left="5721" w:hanging="360"/>
      </w:pPr>
      <w:rPr>
        <w:rFonts w:ascii="Symbol" w:hAnsi="Symbol" w:hint="default"/>
      </w:rPr>
    </w:lvl>
    <w:lvl w:ilvl="7" w:tplc="04150003" w:tentative="1">
      <w:start w:val="1"/>
      <w:numFmt w:val="bullet"/>
      <w:lvlText w:val="o"/>
      <w:lvlJc w:val="left"/>
      <w:pPr>
        <w:ind w:left="6441" w:hanging="360"/>
      </w:pPr>
      <w:rPr>
        <w:rFonts w:ascii="Courier New" w:hAnsi="Courier New" w:cs="Courier New" w:hint="default"/>
      </w:rPr>
    </w:lvl>
    <w:lvl w:ilvl="8" w:tplc="04150005" w:tentative="1">
      <w:start w:val="1"/>
      <w:numFmt w:val="bullet"/>
      <w:lvlText w:val=""/>
      <w:lvlJc w:val="left"/>
      <w:pPr>
        <w:ind w:left="7161" w:hanging="360"/>
      </w:pPr>
      <w:rPr>
        <w:rFonts w:ascii="Wingdings" w:hAnsi="Wingdings" w:hint="default"/>
      </w:rPr>
    </w:lvl>
  </w:abstractNum>
  <w:abstractNum w:abstractNumId="3" w15:restartNumberingAfterBreak="0">
    <w:nsid w:val="070E5E61"/>
    <w:multiLevelType w:val="hybridMultilevel"/>
    <w:tmpl w:val="55CE48EA"/>
    <w:lvl w:ilvl="0" w:tplc="B6C42C7C">
      <w:start w:val="1"/>
      <w:numFmt w:val="decimal"/>
      <w:lvlText w:val="%1."/>
      <w:lvlJc w:val="right"/>
      <w:pPr>
        <w:ind w:left="360" w:hanging="360"/>
      </w:pPr>
      <w:rPr>
        <w:rFonts w:ascii="Arial" w:eastAsiaTheme="minorHAnsi"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9B0A56"/>
    <w:multiLevelType w:val="hybridMultilevel"/>
    <w:tmpl w:val="50D8D380"/>
    <w:lvl w:ilvl="0" w:tplc="163AFE6C">
      <w:start w:val="1"/>
      <w:numFmt w:val="bullet"/>
      <w:lvlText w:val=""/>
      <w:lvlJc w:val="left"/>
      <w:pPr>
        <w:ind w:left="734" w:hanging="360"/>
      </w:pPr>
      <w:rPr>
        <w:rFonts w:ascii="Symbol" w:hAnsi="Symbol" w:hint="default"/>
        <w:color w:val="auto"/>
      </w:rPr>
    </w:lvl>
    <w:lvl w:ilvl="1" w:tplc="04150003" w:tentative="1">
      <w:start w:val="1"/>
      <w:numFmt w:val="bullet"/>
      <w:lvlText w:val="o"/>
      <w:lvlJc w:val="left"/>
      <w:pPr>
        <w:ind w:left="1454" w:hanging="360"/>
      </w:pPr>
      <w:rPr>
        <w:rFonts w:ascii="Courier New" w:hAnsi="Courier New" w:cs="Courier New" w:hint="default"/>
      </w:rPr>
    </w:lvl>
    <w:lvl w:ilvl="2" w:tplc="04150005" w:tentative="1">
      <w:start w:val="1"/>
      <w:numFmt w:val="bullet"/>
      <w:lvlText w:val=""/>
      <w:lvlJc w:val="left"/>
      <w:pPr>
        <w:ind w:left="2174" w:hanging="360"/>
      </w:pPr>
      <w:rPr>
        <w:rFonts w:ascii="Wingdings" w:hAnsi="Wingdings" w:hint="default"/>
      </w:rPr>
    </w:lvl>
    <w:lvl w:ilvl="3" w:tplc="04150001" w:tentative="1">
      <w:start w:val="1"/>
      <w:numFmt w:val="bullet"/>
      <w:lvlText w:val=""/>
      <w:lvlJc w:val="left"/>
      <w:pPr>
        <w:ind w:left="2894" w:hanging="360"/>
      </w:pPr>
      <w:rPr>
        <w:rFonts w:ascii="Symbol" w:hAnsi="Symbol" w:hint="default"/>
      </w:rPr>
    </w:lvl>
    <w:lvl w:ilvl="4" w:tplc="04150003" w:tentative="1">
      <w:start w:val="1"/>
      <w:numFmt w:val="bullet"/>
      <w:lvlText w:val="o"/>
      <w:lvlJc w:val="left"/>
      <w:pPr>
        <w:ind w:left="3614" w:hanging="360"/>
      </w:pPr>
      <w:rPr>
        <w:rFonts w:ascii="Courier New" w:hAnsi="Courier New" w:cs="Courier New" w:hint="default"/>
      </w:rPr>
    </w:lvl>
    <w:lvl w:ilvl="5" w:tplc="04150005" w:tentative="1">
      <w:start w:val="1"/>
      <w:numFmt w:val="bullet"/>
      <w:lvlText w:val=""/>
      <w:lvlJc w:val="left"/>
      <w:pPr>
        <w:ind w:left="4334" w:hanging="360"/>
      </w:pPr>
      <w:rPr>
        <w:rFonts w:ascii="Wingdings" w:hAnsi="Wingdings" w:hint="default"/>
      </w:rPr>
    </w:lvl>
    <w:lvl w:ilvl="6" w:tplc="04150001" w:tentative="1">
      <w:start w:val="1"/>
      <w:numFmt w:val="bullet"/>
      <w:lvlText w:val=""/>
      <w:lvlJc w:val="left"/>
      <w:pPr>
        <w:ind w:left="5054" w:hanging="360"/>
      </w:pPr>
      <w:rPr>
        <w:rFonts w:ascii="Symbol" w:hAnsi="Symbol" w:hint="default"/>
      </w:rPr>
    </w:lvl>
    <w:lvl w:ilvl="7" w:tplc="04150003" w:tentative="1">
      <w:start w:val="1"/>
      <w:numFmt w:val="bullet"/>
      <w:lvlText w:val="o"/>
      <w:lvlJc w:val="left"/>
      <w:pPr>
        <w:ind w:left="5774" w:hanging="360"/>
      </w:pPr>
      <w:rPr>
        <w:rFonts w:ascii="Courier New" w:hAnsi="Courier New" w:cs="Courier New" w:hint="default"/>
      </w:rPr>
    </w:lvl>
    <w:lvl w:ilvl="8" w:tplc="04150005" w:tentative="1">
      <w:start w:val="1"/>
      <w:numFmt w:val="bullet"/>
      <w:lvlText w:val=""/>
      <w:lvlJc w:val="left"/>
      <w:pPr>
        <w:ind w:left="6494" w:hanging="360"/>
      </w:pPr>
      <w:rPr>
        <w:rFonts w:ascii="Wingdings" w:hAnsi="Wingdings" w:hint="default"/>
      </w:rPr>
    </w:lvl>
  </w:abstractNum>
  <w:abstractNum w:abstractNumId="5" w15:restartNumberingAfterBreak="0">
    <w:nsid w:val="14C57D5C"/>
    <w:multiLevelType w:val="hybridMultilevel"/>
    <w:tmpl w:val="1CF2E12A"/>
    <w:lvl w:ilvl="0" w:tplc="4ADC65A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982004"/>
    <w:multiLevelType w:val="hybridMultilevel"/>
    <w:tmpl w:val="4C8E5AB0"/>
    <w:lvl w:ilvl="0" w:tplc="04905CA2">
      <w:start w:val="1"/>
      <w:numFmt w:val="lowerLetter"/>
      <w:lvlText w:val="%1)"/>
      <w:lvlJc w:val="left"/>
      <w:pPr>
        <w:ind w:left="707" w:hanging="435"/>
      </w:pPr>
      <w:rPr>
        <w:rFonts w:hint="default"/>
      </w:rPr>
    </w:lvl>
    <w:lvl w:ilvl="1" w:tplc="04150019" w:tentative="1">
      <w:start w:val="1"/>
      <w:numFmt w:val="lowerLetter"/>
      <w:lvlText w:val="%2."/>
      <w:lvlJc w:val="left"/>
      <w:pPr>
        <w:ind w:left="1352" w:hanging="360"/>
      </w:pPr>
    </w:lvl>
    <w:lvl w:ilvl="2" w:tplc="0415001B" w:tentative="1">
      <w:start w:val="1"/>
      <w:numFmt w:val="lowerRoman"/>
      <w:lvlText w:val="%3."/>
      <w:lvlJc w:val="right"/>
      <w:pPr>
        <w:ind w:left="2072" w:hanging="180"/>
      </w:pPr>
    </w:lvl>
    <w:lvl w:ilvl="3" w:tplc="0415000F" w:tentative="1">
      <w:start w:val="1"/>
      <w:numFmt w:val="decimal"/>
      <w:lvlText w:val="%4."/>
      <w:lvlJc w:val="left"/>
      <w:pPr>
        <w:ind w:left="2792" w:hanging="360"/>
      </w:pPr>
    </w:lvl>
    <w:lvl w:ilvl="4" w:tplc="04150019" w:tentative="1">
      <w:start w:val="1"/>
      <w:numFmt w:val="lowerLetter"/>
      <w:lvlText w:val="%5."/>
      <w:lvlJc w:val="left"/>
      <w:pPr>
        <w:ind w:left="3512" w:hanging="360"/>
      </w:pPr>
    </w:lvl>
    <w:lvl w:ilvl="5" w:tplc="0415001B" w:tentative="1">
      <w:start w:val="1"/>
      <w:numFmt w:val="lowerRoman"/>
      <w:lvlText w:val="%6."/>
      <w:lvlJc w:val="right"/>
      <w:pPr>
        <w:ind w:left="4232" w:hanging="180"/>
      </w:pPr>
    </w:lvl>
    <w:lvl w:ilvl="6" w:tplc="0415000F" w:tentative="1">
      <w:start w:val="1"/>
      <w:numFmt w:val="decimal"/>
      <w:lvlText w:val="%7."/>
      <w:lvlJc w:val="left"/>
      <w:pPr>
        <w:ind w:left="4952" w:hanging="360"/>
      </w:pPr>
    </w:lvl>
    <w:lvl w:ilvl="7" w:tplc="04150019" w:tentative="1">
      <w:start w:val="1"/>
      <w:numFmt w:val="lowerLetter"/>
      <w:lvlText w:val="%8."/>
      <w:lvlJc w:val="left"/>
      <w:pPr>
        <w:ind w:left="5672" w:hanging="360"/>
      </w:pPr>
    </w:lvl>
    <w:lvl w:ilvl="8" w:tplc="0415001B" w:tentative="1">
      <w:start w:val="1"/>
      <w:numFmt w:val="lowerRoman"/>
      <w:lvlText w:val="%9."/>
      <w:lvlJc w:val="right"/>
      <w:pPr>
        <w:ind w:left="6392" w:hanging="180"/>
      </w:pPr>
    </w:lvl>
  </w:abstractNum>
  <w:abstractNum w:abstractNumId="7" w15:restartNumberingAfterBreak="0">
    <w:nsid w:val="178A3CE7"/>
    <w:multiLevelType w:val="hybridMultilevel"/>
    <w:tmpl w:val="94A4BC2C"/>
    <w:lvl w:ilvl="0" w:tplc="DD188C22">
      <w:start w:val="1"/>
      <w:numFmt w:val="upperRoman"/>
      <w:lvlText w:val="%1."/>
      <w:lvlJc w:val="left"/>
      <w:pPr>
        <w:ind w:left="989" w:hanging="720"/>
      </w:pPr>
      <w:rPr>
        <w:rFonts w:hint="default"/>
      </w:rPr>
    </w:lvl>
    <w:lvl w:ilvl="1" w:tplc="04150019" w:tentative="1">
      <w:start w:val="1"/>
      <w:numFmt w:val="lowerLetter"/>
      <w:lvlText w:val="%2."/>
      <w:lvlJc w:val="left"/>
      <w:pPr>
        <w:ind w:left="1349" w:hanging="360"/>
      </w:pPr>
    </w:lvl>
    <w:lvl w:ilvl="2" w:tplc="0415001B" w:tentative="1">
      <w:start w:val="1"/>
      <w:numFmt w:val="lowerRoman"/>
      <w:lvlText w:val="%3."/>
      <w:lvlJc w:val="right"/>
      <w:pPr>
        <w:ind w:left="2069" w:hanging="180"/>
      </w:pPr>
    </w:lvl>
    <w:lvl w:ilvl="3" w:tplc="0415000F" w:tentative="1">
      <w:start w:val="1"/>
      <w:numFmt w:val="decimal"/>
      <w:lvlText w:val="%4."/>
      <w:lvlJc w:val="left"/>
      <w:pPr>
        <w:ind w:left="2789" w:hanging="360"/>
      </w:pPr>
    </w:lvl>
    <w:lvl w:ilvl="4" w:tplc="04150019" w:tentative="1">
      <w:start w:val="1"/>
      <w:numFmt w:val="lowerLetter"/>
      <w:lvlText w:val="%5."/>
      <w:lvlJc w:val="left"/>
      <w:pPr>
        <w:ind w:left="3509" w:hanging="360"/>
      </w:pPr>
    </w:lvl>
    <w:lvl w:ilvl="5" w:tplc="0415001B" w:tentative="1">
      <w:start w:val="1"/>
      <w:numFmt w:val="lowerRoman"/>
      <w:lvlText w:val="%6."/>
      <w:lvlJc w:val="right"/>
      <w:pPr>
        <w:ind w:left="4229" w:hanging="180"/>
      </w:pPr>
    </w:lvl>
    <w:lvl w:ilvl="6" w:tplc="0415000F" w:tentative="1">
      <w:start w:val="1"/>
      <w:numFmt w:val="decimal"/>
      <w:lvlText w:val="%7."/>
      <w:lvlJc w:val="left"/>
      <w:pPr>
        <w:ind w:left="4949" w:hanging="360"/>
      </w:pPr>
    </w:lvl>
    <w:lvl w:ilvl="7" w:tplc="04150019" w:tentative="1">
      <w:start w:val="1"/>
      <w:numFmt w:val="lowerLetter"/>
      <w:lvlText w:val="%8."/>
      <w:lvlJc w:val="left"/>
      <w:pPr>
        <w:ind w:left="5669" w:hanging="360"/>
      </w:pPr>
    </w:lvl>
    <w:lvl w:ilvl="8" w:tplc="0415001B" w:tentative="1">
      <w:start w:val="1"/>
      <w:numFmt w:val="lowerRoman"/>
      <w:lvlText w:val="%9."/>
      <w:lvlJc w:val="right"/>
      <w:pPr>
        <w:ind w:left="6389" w:hanging="180"/>
      </w:pPr>
    </w:lvl>
  </w:abstractNum>
  <w:abstractNum w:abstractNumId="8" w15:restartNumberingAfterBreak="0">
    <w:nsid w:val="1A793B19"/>
    <w:multiLevelType w:val="hybridMultilevel"/>
    <w:tmpl w:val="DB08464A"/>
    <w:lvl w:ilvl="0" w:tplc="163AFE6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D8D5CBC"/>
    <w:multiLevelType w:val="hybridMultilevel"/>
    <w:tmpl w:val="13D2BF52"/>
    <w:lvl w:ilvl="0" w:tplc="AD24BC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5013D3"/>
    <w:multiLevelType w:val="hybridMultilevel"/>
    <w:tmpl w:val="5BA67E0A"/>
    <w:lvl w:ilvl="0" w:tplc="85128214">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1" w15:restartNumberingAfterBreak="0">
    <w:nsid w:val="20CC686B"/>
    <w:multiLevelType w:val="hybridMultilevel"/>
    <w:tmpl w:val="2CC8576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2DB5B66"/>
    <w:multiLevelType w:val="hybridMultilevel"/>
    <w:tmpl w:val="436A940A"/>
    <w:lvl w:ilvl="0" w:tplc="12A6D264">
      <w:start w:val="1"/>
      <w:numFmt w:val="upperRoman"/>
      <w:lvlText w:val="%1."/>
      <w:lvlJc w:val="left"/>
      <w:pPr>
        <w:ind w:left="989" w:hanging="720"/>
      </w:pPr>
      <w:rPr>
        <w:rFonts w:hint="default"/>
      </w:rPr>
    </w:lvl>
    <w:lvl w:ilvl="1" w:tplc="04150019" w:tentative="1">
      <w:start w:val="1"/>
      <w:numFmt w:val="lowerLetter"/>
      <w:lvlText w:val="%2."/>
      <w:lvlJc w:val="left"/>
      <w:pPr>
        <w:ind w:left="1349" w:hanging="360"/>
      </w:pPr>
    </w:lvl>
    <w:lvl w:ilvl="2" w:tplc="0415001B" w:tentative="1">
      <w:start w:val="1"/>
      <w:numFmt w:val="lowerRoman"/>
      <w:lvlText w:val="%3."/>
      <w:lvlJc w:val="right"/>
      <w:pPr>
        <w:ind w:left="2069" w:hanging="180"/>
      </w:pPr>
    </w:lvl>
    <w:lvl w:ilvl="3" w:tplc="0415000F" w:tentative="1">
      <w:start w:val="1"/>
      <w:numFmt w:val="decimal"/>
      <w:lvlText w:val="%4."/>
      <w:lvlJc w:val="left"/>
      <w:pPr>
        <w:ind w:left="2789" w:hanging="360"/>
      </w:pPr>
    </w:lvl>
    <w:lvl w:ilvl="4" w:tplc="04150019" w:tentative="1">
      <w:start w:val="1"/>
      <w:numFmt w:val="lowerLetter"/>
      <w:lvlText w:val="%5."/>
      <w:lvlJc w:val="left"/>
      <w:pPr>
        <w:ind w:left="3509" w:hanging="360"/>
      </w:pPr>
    </w:lvl>
    <w:lvl w:ilvl="5" w:tplc="0415001B" w:tentative="1">
      <w:start w:val="1"/>
      <w:numFmt w:val="lowerRoman"/>
      <w:lvlText w:val="%6."/>
      <w:lvlJc w:val="right"/>
      <w:pPr>
        <w:ind w:left="4229" w:hanging="180"/>
      </w:pPr>
    </w:lvl>
    <w:lvl w:ilvl="6" w:tplc="0415000F" w:tentative="1">
      <w:start w:val="1"/>
      <w:numFmt w:val="decimal"/>
      <w:lvlText w:val="%7."/>
      <w:lvlJc w:val="left"/>
      <w:pPr>
        <w:ind w:left="4949" w:hanging="360"/>
      </w:pPr>
    </w:lvl>
    <w:lvl w:ilvl="7" w:tplc="04150019" w:tentative="1">
      <w:start w:val="1"/>
      <w:numFmt w:val="lowerLetter"/>
      <w:lvlText w:val="%8."/>
      <w:lvlJc w:val="left"/>
      <w:pPr>
        <w:ind w:left="5669" w:hanging="360"/>
      </w:pPr>
    </w:lvl>
    <w:lvl w:ilvl="8" w:tplc="0415001B" w:tentative="1">
      <w:start w:val="1"/>
      <w:numFmt w:val="lowerRoman"/>
      <w:lvlText w:val="%9."/>
      <w:lvlJc w:val="right"/>
      <w:pPr>
        <w:ind w:left="6389" w:hanging="180"/>
      </w:pPr>
    </w:lvl>
  </w:abstractNum>
  <w:abstractNum w:abstractNumId="13" w15:restartNumberingAfterBreak="0">
    <w:nsid w:val="22FC6037"/>
    <w:multiLevelType w:val="hybridMultilevel"/>
    <w:tmpl w:val="36942046"/>
    <w:lvl w:ilvl="0" w:tplc="AD24BC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884DF4"/>
    <w:multiLevelType w:val="hybridMultilevel"/>
    <w:tmpl w:val="D0FCE92C"/>
    <w:lvl w:ilvl="0" w:tplc="63065A7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5B83699"/>
    <w:multiLevelType w:val="hybridMultilevel"/>
    <w:tmpl w:val="2E0E342C"/>
    <w:lvl w:ilvl="0" w:tplc="FB60543C">
      <w:start w:val="1"/>
      <w:numFmt w:val="upperRoman"/>
      <w:lvlText w:val="%1."/>
      <w:lvlJc w:val="left"/>
      <w:pPr>
        <w:ind w:left="989" w:hanging="720"/>
      </w:pPr>
      <w:rPr>
        <w:rFonts w:hint="default"/>
        <w:b w:val="0"/>
        <w:bCs w:val="0"/>
      </w:rPr>
    </w:lvl>
    <w:lvl w:ilvl="1" w:tplc="04150019" w:tentative="1">
      <w:start w:val="1"/>
      <w:numFmt w:val="lowerLetter"/>
      <w:lvlText w:val="%2."/>
      <w:lvlJc w:val="left"/>
      <w:pPr>
        <w:ind w:left="1349" w:hanging="360"/>
      </w:pPr>
    </w:lvl>
    <w:lvl w:ilvl="2" w:tplc="0415001B" w:tentative="1">
      <w:start w:val="1"/>
      <w:numFmt w:val="lowerRoman"/>
      <w:lvlText w:val="%3."/>
      <w:lvlJc w:val="right"/>
      <w:pPr>
        <w:ind w:left="2069" w:hanging="180"/>
      </w:pPr>
    </w:lvl>
    <w:lvl w:ilvl="3" w:tplc="0415000F" w:tentative="1">
      <w:start w:val="1"/>
      <w:numFmt w:val="decimal"/>
      <w:lvlText w:val="%4."/>
      <w:lvlJc w:val="left"/>
      <w:pPr>
        <w:ind w:left="2789" w:hanging="360"/>
      </w:pPr>
    </w:lvl>
    <w:lvl w:ilvl="4" w:tplc="04150019" w:tentative="1">
      <w:start w:val="1"/>
      <w:numFmt w:val="lowerLetter"/>
      <w:lvlText w:val="%5."/>
      <w:lvlJc w:val="left"/>
      <w:pPr>
        <w:ind w:left="3509" w:hanging="360"/>
      </w:pPr>
    </w:lvl>
    <w:lvl w:ilvl="5" w:tplc="0415001B" w:tentative="1">
      <w:start w:val="1"/>
      <w:numFmt w:val="lowerRoman"/>
      <w:lvlText w:val="%6."/>
      <w:lvlJc w:val="right"/>
      <w:pPr>
        <w:ind w:left="4229" w:hanging="180"/>
      </w:pPr>
    </w:lvl>
    <w:lvl w:ilvl="6" w:tplc="0415000F" w:tentative="1">
      <w:start w:val="1"/>
      <w:numFmt w:val="decimal"/>
      <w:lvlText w:val="%7."/>
      <w:lvlJc w:val="left"/>
      <w:pPr>
        <w:ind w:left="4949" w:hanging="360"/>
      </w:pPr>
    </w:lvl>
    <w:lvl w:ilvl="7" w:tplc="04150019" w:tentative="1">
      <w:start w:val="1"/>
      <w:numFmt w:val="lowerLetter"/>
      <w:lvlText w:val="%8."/>
      <w:lvlJc w:val="left"/>
      <w:pPr>
        <w:ind w:left="5669" w:hanging="360"/>
      </w:pPr>
    </w:lvl>
    <w:lvl w:ilvl="8" w:tplc="0415001B" w:tentative="1">
      <w:start w:val="1"/>
      <w:numFmt w:val="lowerRoman"/>
      <w:lvlText w:val="%9."/>
      <w:lvlJc w:val="right"/>
      <w:pPr>
        <w:ind w:left="6389" w:hanging="180"/>
      </w:pPr>
    </w:lvl>
  </w:abstractNum>
  <w:abstractNum w:abstractNumId="16" w15:restartNumberingAfterBreak="0">
    <w:nsid w:val="262A46F5"/>
    <w:multiLevelType w:val="hybridMultilevel"/>
    <w:tmpl w:val="CD02471C"/>
    <w:lvl w:ilvl="0" w:tplc="851282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9B2E57"/>
    <w:multiLevelType w:val="hybridMultilevel"/>
    <w:tmpl w:val="6D7C9DEC"/>
    <w:lvl w:ilvl="0" w:tplc="EF7E4C2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606E6"/>
    <w:multiLevelType w:val="hybridMultilevel"/>
    <w:tmpl w:val="B456D0E0"/>
    <w:lvl w:ilvl="0" w:tplc="851282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5E7F36"/>
    <w:multiLevelType w:val="hybridMultilevel"/>
    <w:tmpl w:val="0D96ADEA"/>
    <w:lvl w:ilvl="0" w:tplc="04150017">
      <w:start w:val="1"/>
      <w:numFmt w:val="lowerLetter"/>
      <w:lvlText w:val="%1)"/>
      <w:lvlJc w:val="left"/>
      <w:pPr>
        <w:ind w:left="1089" w:hanging="360"/>
      </w:pPr>
    </w:lvl>
    <w:lvl w:ilvl="1" w:tplc="04150019" w:tentative="1">
      <w:start w:val="1"/>
      <w:numFmt w:val="lowerLetter"/>
      <w:lvlText w:val="%2."/>
      <w:lvlJc w:val="left"/>
      <w:pPr>
        <w:ind w:left="1809" w:hanging="360"/>
      </w:pPr>
    </w:lvl>
    <w:lvl w:ilvl="2" w:tplc="0415001B" w:tentative="1">
      <w:start w:val="1"/>
      <w:numFmt w:val="lowerRoman"/>
      <w:lvlText w:val="%3."/>
      <w:lvlJc w:val="right"/>
      <w:pPr>
        <w:ind w:left="2529" w:hanging="180"/>
      </w:pPr>
    </w:lvl>
    <w:lvl w:ilvl="3" w:tplc="0415000F" w:tentative="1">
      <w:start w:val="1"/>
      <w:numFmt w:val="decimal"/>
      <w:lvlText w:val="%4."/>
      <w:lvlJc w:val="left"/>
      <w:pPr>
        <w:ind w:left="3249" w:hanging="360"/>
      </w:pPr>
    </w:lvl>
    <w:lvl w:ilvl="4" w:tplc="04150019" w:tentative="1">
      <w:start w:val="1"/>
      <w:numFmt w:val="lowerLetter"/>
      <w:lvlText w:val="%5."/>
      <w:lvlJc w:val="left"/>
      <w:pPr>
        <w:ind w:left="3969" w:hanging="360"/>
      </w:pPr>
    </w:lvl>
    <w:lvl w:ilvl="5" w:tplc="0415001B" w:tentative="1">
      <w:start w:val="1"/>
      <w:numFmt w:val="lowerRoman"/>
      <w:lvlText w:val="%6."/>
      <w:lvlJc w:val="right"/>
      <w:pPr>
        <w:ind w:left="4689" w:hanging="180"/>
      </w:pPr>
    </w:lvl>
    <w:lvl w:ilvl="6" w:tplc="0415000F" w:tentative="1">
      <w:start w:val="1"/>
      <w:numFmt w:val="decimal"/>
      <w:lvlText w:val="%7."/>
      <w:lvlJc w:val="left"/>
      <w:pPr>
        <w:ind w:left="5409" w:hanging="360"/>
      </w:pPr>
    </w:lvl>
    <w:lvl w:ilvl="7" w:tplc="04150019" w:tentative="1">
      <w:start w:val="1"/>
      <w:numFmt w:val="lowerLetter"/>
      <w:lvlText w:val="%8."/>
      <w:lvlJc w:val="left"/>
      <w:pPr>
        <w:ind w:left="6129" w:hanging="360"/>
      </w:pPr>
    </w:lvl>
    <w:lvl w:ilvl="8" w:tplc="0415001B" w:tentative="1">
      <w:start w:val="1"/>
      <w:numFmt w:val="lowerRoman"/>
      <w:lvlText w:val="%9."/>
      <w:lvlJc w:val="right"/>
      <w:pPr>
        <w:ind w:left="6849" w:hanging="180"/>
      </w:pPr>
    </w:lvl>
  </w:abstractNum>
  <w:abstractNum w:abstractNumId="20" w15:restartNumberingAfterBreak="0">
    <w:nsid w:val="2EE010E7"/>
    <w:multiLevelType w:val="hybridMultilevel"/>
    <w:tmpl w:val="0B561C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CF3E81"/>
    <w:multiLevelType w:val="hybridMultilevel"/>
    <w:tmpl w:val="3DCC2950"/>
    <w:lvl w:ilvl="0" w:tplc="0415000F">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827ED3"/>
    <w:multiLevelType w:val="multilevel"/>
    <w:tmpl w:val="563CB9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5F369F2"/>
    <w:multiLevelType w:val="hybridMultilevel"/>
    <w:tmpl w:val="8508155C"/>
    <w:lvl w:ilvl="0" w:tplc="C7B87720">
      <w:start w:val="1"/>
      <w:numFmt w:val="lowerLetter"/>
      <w:lvlText w:val="%1)"/>
      <w:lvlJc w:val="left"/>
      <w:pPr>
        <w:ind w:left="487" w:hanging="360"/>
      </w:pPr>
      <w:rPr>
        <w:rFonts w:ascii="Arial" w:eastAsiaTheme="minorHAnsi" w:hAnsi="Arial" w:cs="Arial"/>
      </w:rPr>
    </w:lvl>
    <w:lvl w:ilvl="1" w:tplc="04150019" w:tentative="1">
      <w:start w:val="1"/>
      <w:numFmt w:val="lowerLetter"/>
      <w:lvlText w:val="%2."/>
      <w:lvlJc w:val="left"/>
      <w:pPr>
        <w:ind w:left="1207" w:hanging="360"/>
      </w:pPr>
    </w:lvl>
    <w:lvl w:ilvl="2" w:tplc="0415001B" w:tentative="1">
      <w:start w:val="1"/>
      <w:numFmt w:val="lowerRoman"/>
      <w:lvlText w:val="%3."/>
      <w:lvlJc w:val="right"/>
      <w:pPr>
        <w:ind w:left="1927" w:hanging="180"/>
      </w:pPr>
    </w:lvl>
    <w:lvl w:ilvl="3" w:tplc="0415000F" w:tentative="1">
      <w:start w:val="1"/>
      <w:numFmt w:val="decimal"/>
      <w:lvlText w:val="%4."/>
      <w:lvlJc w:val="left"/>
      <w:pPr>
        <w:ind w:left="2647" w:hanging="360"/>
      </w:pPr>
    </w:lvl>
    <w:lvl w:ilvl="4" w:tplc="04150019" w:tentative="1">
      <w:start w:val="1"/>
      <w:numFmt w:val="lowerLetter"/>
      <w:lvlText w:val="%5."/>
      <w:lvlJc w:val="left"/>
      <w:pPr>
        <w:ind w:left="3367" w:hanging="360"/>
      </w:pPr>
    </w:lvl>
    <w:lvl w:ilvl="5" w:tplc="0415001B" w:tentative="1">
      <w:start w:val="1"/>
      <w:numFmt w:val="lowerRoman"/>
      <w:lvlText w:val="%6."/>
      <w:lvlJc w:val="right"/>
      <w:pPr>
        <w:ind w:left="4087" w:hanging="180"/>
      </w:pPr>
    </w:lvl>
    <w:lvl w:ilvl="6" w:tplc="0415000F" w:tentative="1">
      <w:start w:val="1"/>
      <w:numFmt w:val="decimal"/>
      <w:lvlText w:val="%7."/>
      <w:lvlJc w:val="left"/>
      <w:pPr>
        <w:ind w:left="4807" w:hanging="360"/>
      </w:pPr>
    </w:lvl>
    <w:lvl w:ilvl="7" w:tplc="04150019" w:tentative="1">
      <w:start w:val="1"/>
      <w:numFmt w:val="lowerLetter"/>
      <w:lvlText w:val="%8."/>
      <w:lvlJc w:val="left"/>
      <w:pPr>
        <w:ind w:left="5527" w:hanging="360"/>
      </w:pPr>
    </w:lvl>
    <w:lvl w:ilvl="8" w:tplc="0415001B" w:tentative="1">
      <w:start w:val="1"/>
      <w:numFmt w:val="lowerRoman"/>
      <w:lvlText w:val="%9."/>
      <w:lvlJc w:val="right"/>
      <w:pPr>
        <w:ind w:left="6247" w:hanging="180"/>
      </w:pPr>
    </w:lvl>
  </w:abstractNum>
  <w:abstractNum w:abstractNumId="24" w15:restartNumberingAfterBreak="0">
    <w:nsid w:val="38CB78A2"/>
    <w:multiLevelType w:val="hybridMultilevel"/>
    <w:tmpl w:val="7EF62F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E977AD"/>
    <w:multiLevelType w:val="hybridMultilevel"/>
    <w:tmpl w:val="A87288D2"/>
    <w:lvl w:ilvl="0" w:tplc="851282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9F05A80"/>
    <w:multiLevelType w:val="hybridMultilevel"/>
    <w:tmpl w:val="526439E6"/>
    <w:lvl w:ilvl="0" w:tplc="851282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1A75C99"/>
    <w:multiLevelType w:val="hybridMultilevel"/>
    <w:tmpl w:val="2564DCB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42171D61"/>
    <w:multiLevelType w:val="hybridMultilevel"/>
    <w:tmpl w:val="A3FC9AB8"/>
    <w:lvl w:ilvl="0" w:tplc="F956011A">
      <w:start w:val="1"/>
      <w:numFmt w:val="decimal"/>
      <w:lvlText w:val="%1."/>
      <w:lvlJc w:val="left"/>
      <w:pPr>
        <w:ind w:left="964" w:hanging="360"/>
      </w:pPr>
      <w:rPr>
        <w:b w:val="0"/>
        <w:bCs w:val="0"/>
      </w:rPr>
    </w:lvl>
    <w:lvl w:ilvl="1" w:tplc="04150019" w:tentative="1">
      <w:start w:val="1"/>
      <w:numFmt w:val="lowerLetter"/>
      <w:lvlText w:val="%2."/>
      <w:lvlJc w:val="left"/>
      <w:pPr>
        <w:ind w:left="1684" w:hanging="360"/>
      </w:pPr>
    </w:lvl>
    <w:lvl w:ilvl="2" w:tplc="0415001B" w:tentative="1">
      <w:start w:val="1"/>
      <w:numFmt w:val="lowerRoman"/>
      <w:lvlText w:val="%3."/>
      <w:lvlJc w:val="right"/>
      <w:pPr>
        <w:ind w:left="2404" w:hanging="180"/>
      </w:pPr>
    </w:lvl>
    <w:lvl w:ilvl="3" w:tplc="0415000F" w:tentative="1">
      <w:start w:val="1"/>
      <w:numFmt w:val="decimal"/>
      <w:lvlText w:val="%4."/>
      <w:lvlJc w:val="left"/>
      <w:pPr>
        <w:ind w:left="3124" w:hanging="360"/>
      </w:pPr>
    </w:lvl>
    <w:lvl w:ilvl="4" w:tplc="04150019" w:tentative="1">
      <w:start w:val="1"/>
      <w:numFmt w:val="lowerLetter"/>
      <w:lvlText w:val="%5."/>
      <w:lvlJc w:val="left"/>
      <w:pPr>
        <w:ind w:left="3844" w:hanging="360"/>
      </w:pPr>
    </w:lvl>
    <w:lvl w:ilvl="5" w:tplc="0415001B" w:tentative="1">
      <w:start w:val="1"/>
      <w:numFmt w:val="lowerRoman"/>
      <w:lvlText w:val="%6."/>
      <w:lvlJc w:val="right"/>
      <w:pPr>
        <w:ind w:left="4564" w:hanging="180"/>
      </w:pPr>
    </w:lvl>
    <w:lvl w:ilvl="6" w:tplc="0415000F" w:tentative="1">
      <w:start w:val="1"/>
      <w:numFmt w:val="decimal"/>
      <w:lvlText w:val="%7."/>
      <w:lvlJc w:val="left"/>
      <w:pPr>
        <w:ind w:left="5284" w:hanging="360"/>
      </w:pPr>
    </w:lvl>
    <w:lvl w:ilvl="7" w:tplc="04150019" w:tentative="1">
      <w:start w:val="1"/>
      <w:numFmt w:val="lowerLetter"/>
      <w:lvlText w:val="%8."/>
      <w:lvlJc w:val="left"/>
      <w:pPr>
        <w:ind w:left="6004" w:hanging="360"/>
      </w:pPr>
    </w:lvl>
    <w:lvl w:ilvl="8" w:tplc="0415001B" w:tentative="1">
      <w:start w:val="1"/>
      <w:numFmt w:val="lowerRoman"/>
      <w:lvlText w:val="%9."/>
      <w:lvlJc w:val="right"/>
      <w:pPr>
        <w:ind w:left="6724" w:hanging="180"/>
      </w:pPr>
    </w:lvl>
  </w:abstractNum>
  <w:abstractNum w:abstractNumId="29" w15:restartNumberingAfterBreak="0">
    <w:nsid w:val="42A31920"/>
    <w:multiLevelType w:val="hybridMultilevel"/>
    <w:tmpl w:val="4034936A"/>
    <w:lvl w:ilvl="0" w:tplc="04150001">
      <w:start w:val="1"/>
      <w:numFmt w:val="bullet"/>
      <w:lvlText w:val=""/>
      <w:lvlJc w:val="left"/>
      <w:pPr>
        <w:ind w:left="964" w:hanging="360"/>
      </w:pPr>
      <w:rPr>
        <w:rFonts w:ascii="Symbol" w:hAnsi="Symbol" w:hint="default"/>
        <w:b w:val="0"/>
        <w:bCs w:val="0"/>
      </w:rPr>
    </w:lvl>
    <w:lvl w:ilvl="1" w:tplc="04150019" w:tentative="1">
      <w:start w:val="1"/>
      <w:numFmt w:val="lowerLetter"/>
      <w:lvlText w:val="%2."/>
      <w:lvlJc w:val="left"/>
      <w:pPr>
        <w:ind w:left="1684" w:hanging="360"/>
      </w:pPr>
    </w:lvl>
    <w:lvl w:ilvl="2" w:tplc="0415001B" w:tentative="1">
      <w:start w:val="1"/>
      <w:numFmt w:val="lowerRoman"/>
      <w:lvlText w:val="%3."/>
      <w:lvlJc w:val="right"/>
      <w:pPr>
        <w:ind w:left="2404" w:hanging="180"/>
      </w:pPr>
    </w:lvl>
    <w:lvl w:ilvl="3" w:tplc="0415000F" w:tentative="1">
      <w:start w:val="1"/>
      <w:numFmt w:val="decimal"/>
      <w:lvlText w:val="%4."/>
      <w:lvlJc w:val="left"/>
      <w:pPr>
        <w:ind w:left="3124" w:hanging="360"/>
      </w:pPr>
    </w:lvl>
    <w:lvl w:ilvl="4" w:tplc="04150019" w:tentative="1">
      <w:start w:val="1"/>
      <w:numFmt w:val="lowerLetter"/>
      <w:lvlText w:val="%5."/>
      <w:lvlJc w:val="left"/>
      <w:pPr>
        <w:ind w:left="3844" w:hanging="360"/>
      </w:pPr>
    </w:lvl>
    <w:lvl w:ilvl="5" w:tplc="0415001B" w:tentative="1">
      <w:start w:val="1"/>
      <w:numFmt w:val="lowerRoman"/>
      <w:lvlText w:val="%6."/>
      <w:lvlJc w:val="right"/>
      <w:pPr>
        <w:ind w:left="4564" w:hanging="180"/>
      </w:pPr>
    </w:lvl>
    <w:lvl w:ilvl="6" w:tplc="0415000F" w:tentative="1">
      <w:start w:val="1"/>
      <w:numFmt w:val="decimal"/>
      <w:lvlText w:val="%7."/>
      <w:lvlJc w:val="left"/>
      <w:pPr>
        <w:ind w:left="5284" w:hanging="360"/>
      </w:pPr>
    </w:lvl>
    <w:lvl w:ilvl="7" w:tplc="04150019" w:tentative="1">
      <w:start w:val="1"/>
      <w:numFmt w:val="lowerLetter"/>
      <w:lvlText w:val="%8."/>
      <w:lvlJc w:val="left"/>
      <w:pPr>
        <w:ind w:left="6004" w:hanging="360"/>
      </w:pPr>
    </w:lvl>
    <w:lvl w:ilvl="8" w:tplc="0415001B" w:tentative="1">
      <w:start w:val="1"/>
      <w:numFmt w:val="lowerRoman"/>
      <w:lvlText w:val="%9."/>
      <w:lvlJc w:val="right"/>
      <w:pPr>
        <w:ind w:left="6724" w:hanging="180"/>
      </w:pPr>
    </w:lvl>
  </w:abstractNum>
  <w:abstractNum w:abstractNumId="30" w15:restartNumberingAfterBreak="0">
    <w:nsid w:val="43A27062"/>
    <w:multiLevelType w:val="hybridMultilevel"/>
    <w:tmpl w:val="A68E243E"/>
    <w:lvl w:ilvl="0" w:tplc="B150BE58">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EE4A55"/>
    <w:multiLevelType w:val="hybridMultilevel"/>
    <w:tmpl w:val="C9F2C466"/>
    <w:lvl w:ilvl="0" w:tplc="24B8F3F4">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8407D33"/>
    <w:multiLevelType w:val="hybridMultilevel"/>
    <w:tmpl w:val="05944B60"/>
    <w:lvl w:ilvl="0" w:tplc="3542A2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E811BB"/>
    <w:multiLevelType w:val="hybridMultilevel"/>
    <w:tmpl w:val="343E9E76"/>
    <w:lvl w:ilvl="0" w:tplc="7F0C4F86">
      <w:start w:val="1"/>
      <w:numFmt w:val="lowerLetter"/>
      <w:lvlText w:val="%1)"/>
      <w:lvlJc w:val="left"/>
      <w:pPr>
        <w:ind w:left="632" w:hanging="360"/>
      </w:pPr>
      <w:rPr>
        <w:rFonts w:hint="default"/>
      </w:rPr>
    </w:lvl>
    <w:lvl w:ilvl="1" w:tplc="04150019" w:tentative="1">
      <w:start w:val="1"/>
      <w:numFmt w:val="lowerLetter"/>
      <w:lvlText w:val="%2."/>
      <w:lvlJc w:val="left"/>
      <w:pPr>
        <w:ind w:left="1352" w:hanging="360"/>
      </w:pPr>
    </w:lvl>
    <w:lvl w:ilvl="2" w:tplc="0415001B" w:tentative="1">
      <w:start w:val="1"/>
      <w:numFmt w:val="lowerRoman"/>
      <w:lvlText w:val="%3."/>
      <w:lvlJc w:val="right"/>
      <w:pPr>
        <w:ind w:left="2072" w:hanging="180"/>
      </w:pPr>
    </w:lvl>
    <w:lvl w:ilvl="3" w:tplc="0415000F" w:tentative="1">
      <w:start w:val="1"/>
      <w:numFmt w:val="decimal"/>
      <w:lvlText w:val="%4."/>
      <w:lvlJc w:val="left"/>
      <w:pPr>
        <w:ind w:left="2792" w:hanging="360"/>
      </w:pPr>
    </w:lvl>
    <w:lvl w:ilvl="4" w:tplc="04150019" w:tentative="1">
      <w:start w:val="1"/>
      <w:numFmt w:val="lowerLetter"/>
      <w:lvlText w:val="%5."/>
      <w:lvlJc w:val="left"/>
      <w:pPr>
        <w:ind w:left="3512" w:hanging="360"/>
      </w:pPr>
    </w:lvl>
    <w:lvl w:ilvl="5" w:tplc="0415001B" w:tentative="1">
      <w:start w:val="1"/>
      <w:numFmt w:val="lowerRoman"/>
      <w:lvlText w:val="%6."/>
      <w:lvlJc w:val="right"/>
      <w:pPr>
        <w:ind w:left="4232" w:hanging="180"/>
      </w:pPr>
    </w:lvl>
    <w:lvl w:ilvl="6" w:tplc="0415000F" w:tentative="1">
      <w:start w:val="1"/>
      <w:numFmt w:val="decimal"/>
      <w:lvlText w:val="%7."/>
      <w:lvlJc w:val="left"/>
      <w:pPr>
        <w:ind w:left="4952" w:hanging="360"/>
      </w:pPr>
    </w:lvl>
    <w:lvl w:ilvl="7" w:tplc="04150019" w:tentative="1">
      <w:start w:val="1"/>
      <w:numFmt w:val="lowerLetter"/>
      <w:lvlText w:val="%8."/>
      <w:lvlJc w:val="left"/>
      <w:pPr>
        <w:ind w:left="5672" w:hanging="360"/>
      </w:pPr>
    </w:lvl>
    <w:lvl w:ilvl="8" w:tplc="0415001B" w:tentative="1">
      <w:start w:val="1"/>
      <w:numFmt w:val="lowerRoman"/>
      <w:lvlText w:val="%9."/>
      <w:lvlJc w:val="right"/>
      <w:pPr>
        <w:ind w:left="6392" w:hanging="180"/>
      </w:pPr>
    </w:lvl>
  </w:abstractNum>
  <w:abstractNum w:abstractNumId="34" w15:restartNumberingAfterBreak="0">
    <w:nsid w:val="4C3D79A9"/>
    <w:multiLevelType w:val="hybridMultilevel"/>
    <w:tmpl w:val="437AFFBE"/>
    <w:lvl w:ilvl="0" w:tplc="851282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E9439F7"/>
    <w:multiLevelType w:val="hybridMultilevel"/>
    <w:tmpl w:val="F0EE9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ED62F33"/>
    <w:multiLevelType w:val="hybridMultilevel"/>
    <w:tmpl w:val="3F04DB48"/>
    <w:lvl w:ilvl="0" w:tplc="F5844E0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F401AAD"/>
    <w:multiLevelType w:val="hybridMultilevel"/>
    <w:tmpl w:val="3798429E"/>
    <w:lvl w:ilvl="0" w:tplc="AF2CDCF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F75732A"/>
    <w:multiLevelType w:val="hybridMultilevel"/>
    <w:tmpl w:val="DE26D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11B4CD3"/>
    <w:multiLevelType w:val="hybridMultilevel"/>
    <w:tmpl w:val="107A76A8"/>
    <w:lvl w:ilvl="0" w:tplc="163AFE6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4D00A09"/>
    <w:multiLevelType w:val="hybridMultilevel"/>
    <w:tmpl w:val="391C4312"/>
    <w:lvl w:ilvl="0" w:tplc="D302924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9915742"/>
    <w:multiLevelType w:val="hybridMultilevel"/>
    <w:tmpl w:val="89E48C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B1E4971"/>
    <w:multiLevelType w:val="hybridMultilevel"/>
    <w:tmpl w:val="86422D30"/>
    <w:lvl w:ilvl="0" w:tplc="85128214">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43" w15:restartNumberingAfterBreak="0">
    <w:nsid w:val="6095012A"/>
    <w:multiLevelType w:val="hybridMultilevel"/>
    <w:tmpl w:val="8CF40CEE"/>
    <w:lvl w:ilvl="0" w:tplc="163AFE6C">
      <w:start w:val="1"/>
      <w:numFmt w:val="bullet"/>
      <w:lvlText w:val=""/>
      <w:lvlJc w:val="left"/>
      <w:pPr>
        <w:ind w:left="1427" w:hanging="360"/>
      </w:pPr>
      <w:rPr>
        <w:rFonts w:ascii="Symbol" w:hAnsi="Symbol" w:hint="default"/>
        <w:color w:val="auto"/>
      </w:rPr>
    </w:lvl>
    <w:lvl w:ilvl="1" w:tplc="04150003" w:tentative="1">
      <w:start w:val="1"/>
      <w:numFmt w:val="bullet"/>
      <w:lvlText w:val="o"/>
      <w:lvlJc w:val="left"/>
      <w:pPr>
        <w:ind w:left="2147" w:hanging="360"/>
      </w:pPr>
      <w:rPr>
        <w:rFonts w:ascii="Courier New" w:hAnsi="Courier New" w:cs="Courier New" w:hint="default"/>
      </w:rPr>
    </w:lvl>
    <w:lvl w:ilvl="2" w:tplc="04150005" w:tentative="1">
      <w:start w:val="1"/>
      <w:numFmt w:val="bullet"/>
      <w:lvlText w:val=""/>
      <w:lvlJc w:val="left"/>
      <w:pPr>
        <w:ind w:left="2867" w:hanging="360"/>
      </w:pPr>
      <w:rPr>
        <w:rFonts w:ascii="Wingdings" w:hAnsi="Wingdings" w:hint="default"/>
      </w:rPr>
    </w:lvl>
    <w:lvl w:ilvl="3" w:tplc="04150001" w:tentative="1">
      <w:start w:val="1"/>
      <w:numFmt w:val="bullet"/>
      <w:lvlText w:val=""/>
      <w:lvlJc w:val="left"/>
      <w:pPr>
        <w:ind w:left="3587" w:hanging="360"/>
      </w:pPr>
      <w:rPr>
        <w:rFonts w:ascii="Symbol" w:hAnsi="Symbol" w:hint="default"/>
      </w:rPr>
    </w:lvl>
    <w:lvl w:ilvl="4" w:tplc="04150003" w:tentative="1">
      <w:start w:val="1"/>
      <w:numFmt w:val="bullet"/>
      <w:lvlText w:val="o"/>
      <w:lvlJc w:val="left"/>
      <w:pPr>
        <w:ind w:left="4307" w:hanging="360"/>
      </w:pPr>
      <w:rPr>
        <w:rFonts w:ascii="Courier New" w:hAnsi="Courier New" w:cs="Courier New" w:hint="default"/>
      </w:rPr>
    </w:lvl>
    <w:lvl w:ilvl="5" w:tplc="04150005" w:tentative="1">
      <w:start w:val="1"/>
      <w:numFmt w:val="bullet"/>
      <w:lvlText w:val=""/>
      <w:lvlJc w:val="left"/>
      <w:pPr>
        <w:ind w:left="5027" w:hanging="360"/>
      </w:pPr>
      <w:rPr>
        <w:rFonts w:ascii="Wingdings" w:hAnsi="Wingdings" w:hint="default"/>
      </w:rPr>
    </w:lvl>
    <w:lvl w:ilvl="6" w:tplc="04150001" w:tentative="1">
      <w:start w:val="1"/>
      <w:numFmt w:val="bullet"/>
      <w:lvlText w:val=""/>
      <w:lvlJc w:val="left"/>
      <w:pPr>
        <w:ind w:left="5747" w:hanging="360"/>
      </w:pPr>
      <w:rPr>
        <w:rFonts w:ascii="Symbol" w:hAnsi="Symbol" w:hint="default"/>
      </w:rPr>
    </w:lvl>
    <w:lvl w:ilvl="7" w:tplc="04150003" w:tentative="1">
      <w:start w:val="1"/>
      <w:numFmt w:val="bullet"/>
      <w:lvlText w:val="o"/>
      <w:lvlJc w:val="left"/>
      <w:pPr>
        <w:ind w:left="6467" w:hanging="360"/>
      </w:pPr>
      <w:rPr>
        <w:rFonts w:ascii="Courier New" w:hAnsi="Courier New" w:cs="Courier New" w:hint="default"/>
      </w:rPr>
    </w:lvl>
    <w:lvl w:ilvl="8" w:tplc="04150005" w:tentative="1">
      <w:start w:val="1"/>
      <w:numFmt w:val="bullet"/>
      <w:lvlText w:val=""/>
      <w:lvlJc w:val="left"/>
      <w:pPr>
        <w:ind w:left="7187" w:hanging="360"/>
      </w:pPr>
      <w:rPr>
        <w:rFonts w:ascii="Wingdings" w:hAnsi="Wingdings" w:hint="default"/>
      </w:rPr>
    </w:lvl>
  </w:abstractNum>
  <w:abstractNum w:abstractNumId="44" w15:restartNumberingAfterBreak="0">
    <w:nsid w:val="62F81BC9"/>
    <w:multiLevelType w:val="hybridMultilevel"/>
    <w:tmpl w:val="3DC05E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3A03018"/>
    <w:multiLevelType w:val="hybridMultilevel"/>
    <w:tmpl w:val="AD261FF2"/>
    <w:lvl w:ilvl="0" w:tplc="04150001">
      <w:start w:val="1"/>
      <w:numFmt w:val="bullet"/>
      <w:lvlText w:val=""/>
      <w:lvlJc w:val="left"/>
      <w:pPr>
        <w:ind w:left="989" w:hanging="360"/>
      </w:pPr>
      <w:rPr>
        <w:rFonts w:ascii="Symbol" w:hAnsi="Symbol" w:hint="default"/>
      </w:rPr>
    </w:lvl>
    <w:lvl w:ilvl="1" w:tplc="04150003" w:tentative="1">
      <w:start w:val="1"/>
      <w:numFmt w:val="bullet"/>
      <w:lvlText w:val="o"/>
      <w:lvlJc w:val="left"/>
      <w:pPr>
        <w:ind w:left="1709" w:hanging="360"/>
      </w:pPr>
      <w:rPr>
        <w:rFonts w:ascii="Courier New" w:hAnsi="Courier New" w:cs="Courier New" w:hint="default"/>
      </w:rPr>
    </w:lvl>
    <w:lvl w:ilvl="2" w:tplc="04150005" w:tentative="1">
      <w:start w:val="1"/>
      <w:numFmt w:val="bullet"/>
      <w:lvlText w:val=""/>
      <w:lvlJc w:val="left"/>
      <w:pPr>
        <w:ind w:left="2429" w:hanging="360"/>
      </w:pPr>
      <w:rPr>
        <w:rFonts w:ascii="Wingdings" w:hAnsi="Wingdings" w:hint="default"/>
      </w:rPr>
    </w:lvl>
    <w:lvl w:ilvl="3" w:tplc="04150001">
      <w:start w:val="1"/>
      <w:numFmt w:val="bullet"/>
      <w:lvlText w:val=""/>
      <w:lvlJc w:val="left"/>
      <w:pPr>
        <w:ind w:left="3149" w:hanging="360"/>
      </w:pPr>
      <w:rPr>
        <w:rFonts w:ascii="Symbol" w:hAnsi="Symbol" w:hint="default"/>
      </w:rPr>
    </w:lvl>
    <w:lvl w:ilvl="4" w:tplc="04150003" w:tentative="1">
      <w:start w:val="1"/>
      <w:numFmt w:val="bullet"/>
      <w:lvlText w:val="o"/>
      <w:lvlJc w:val="left"/>
      <w:pPr>
        <w:ind w:left="3869" w:hanging="360"/>
      </w:pPr>
      <w:rPr>
        <w:rFonts w:ascii="Courier New" w:hAnsi="Courier New" w:cs="Courier New" w:hint="default"/>
      </w:rPr>
    </w:lvl>
    <w:lvl w:ilvl="5" w:tplc="04150005" w:tentative="1">
      <w:start w:val="1"/>
      <w:numFmt w:val="bullet"/>
      <w:lvlText w:val=""/>
      <w:lvlJc w:val="left"/>
      <w:pPr>
        <w:ind w:left="4589" w:hanging="360"/>
      </w:pPr>
      <w:rPr>
        <w:rFonts w:ascii="Wingdings" w:hAnsi="Wingdings" w:hint="default"/>
      </w:rPr>
    </w:lvl>
    <w:lvl w:ilvl="6" w:tplc="04150001" w:tentative="1">
      <w:start w:val="1"/>
      <w:numFmt w:val="bullet"/>
      <w:lvlText w:val=""/>
      <w:lvlJc w:val="left"/>
      <w:pPr>
        <w:ind w:left="5309" w:hanging="360"/>
      </w:pPr>
      <w:rPr>
        <w:rFonts w:ascii="Symbol" w:hAnsi="Symbol" w:hint="default"/>
      </w:rPr>
    </w:lvl>
    <w:lvl w:ilvl="7" w:tplc="04150003" w:tentative="1">
      <w:start w:val="1"/>
      <w:numFmt w:val="bullet"/>
      <w:lvlText w:val="o"/>
      <w:lvlJc w:val="left"/>
      <w:pPr>
        <w:ind w:left="6029" w:hanging="360"/>
      </w:pPr>
      <w:rPr>
        <w:rFonts w:ascii="Courier New" w:hAnsi="Courier New" w:cs="Courier New" w:hint="default"/>
      </w:rPr>
    </w:lvl>
    <w:lvl w:ilvl="8" w:tplc="04150005" w:tentative="1">
      <w:start w:val="1"/>
      <w:numFmt w:val="bullet"/>
      <w:lvlText w:val=""/>
      <w:lvlJc w:val="left"/>
      <w:pPr>
        <w:ind w:left="6749" w:hanging="360"/>
      </w:pPr>
      <w:rPr>
        <w:rFonts w:ascii="Wingdings" w:hAnsi="Wingdings" w:hint="default"/>
      </w:rPr>
    </w:lvl>
  </w:abstractNum>
  <w:abstractNum w:abstractNumId="46" w15:restartNumberingAfterBreak="0">
    <w:nsid w:val="68E14261"/>
    <w:multiLevelType w:val="hybridMultilevel"/>
    <w:tmpl w:val="92B81CC8"/>
    <w:lvl w:ilvl="0" w:tplc="85128214">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7" w15:restartNumberingAfterBreak="0">
    <w:nsid w:val="69856477"/>
    <w:multiLevelType w:val="hybridMultilevel"/>
    <w:tmpl w:val="EC6442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AA91CDC"/>
    <w:multiLevelType w:val="hybridMultilevel"/>
    <w:tmpl w:val="B68E108C"/>
    <w:lvl w:ilvl="0" w:tplc="12A6D264">
      <w:start w:val="1"/>
      <w:numFmt w:val="upperRoman"/>
      <w:lvlText w:val="%1."/>
      <w:lvlJc w:val="left"/>
      <w:pPr>
        <w:ind w:left="989" w:hanging="720"/>
      </w:pPr>
      <w:rPr>
        <w:rFonts w:hint="default"/>
      </w:rPr>
    </w:lvl>
    <w:lvl w:ilvl="1" w:tplc="04150019" w:tentative="1">
      <w:start w:val="1"/>
      <w:numFmt w:val="lowerLetter"/>
      <w:lvlText w:val="%2."/>
      <w:lvlJc w:val="left"/>
      <w:pPr>
        <w:ind w:left="1349" w:hanging="360"/>
      </w:pPr>
    </w:lvl>
    <w:lvl w:ilvl="2" w:tplc="0415001B" w:tentative="1">
      <w:start w:val="1"/>
      <w:numFmt w:val="lowerRoman"/>
      <w:lvlText w:val="%3."/>
      <w:lvlJc w:val="right"/>
      <w:pPr>
        <w:ind w:left="2069" w:hanging="180"/>
      </w:pPr>
    </w:lvl>
    <w:lvl w:ilvl="3" w:tplc="0415000F" w:tentative="1">
      <w:start w:val="1"/>
      <w:numFmt w:val="decimal"/>
      <w:lvlText w:val="%4."/>
      <w:lvlJc w:val="left"/>
      <w:pPr>
        <w:ind w:left="2789" w:hanging="360"/>
      </w:pPr>
    </w:lvl>
    <w:lvl w:ilvl="4" w:tplc="04150019" w:tentative="1">
      <w:start w:val="1"/>
      <w:numFmt w:val="lowerLetter"/>
      <w:lvlText w:val="%5."/>
      <w:lvlJc w:val="left"/>
      <w:pPr>
        <w:ind w:left="3509" w:hanging="360"/>
      </w:pPr>
    </w:lvl>
    <w:lvl w:ilvl="5" w:tplc="0415001B" w:tentative="1">
      <w:start w:val="1"/>
      <w:numFmt w:val="lowerRoman"/>
      <w:lvlText w:val="%6."/>
      <w:lvlJc w:val="right"/>
      <w:pPr>
        <w:ind w:left="4229" w:hanging="180"/>
      </w:pPr>
    </w:lvl>
    <w:lvl w:ilvl="6" w:tplc="0415000F" w:tentative="1">
      <w:start w:val="1"/>
      <w:numFmt w:val="decimal"/>
      <w:lvlText w:val="%7."/>
      <w:lvlJc w:val="left"/>
      <w:pPr>
        <w:ind w:left="4949" w:hanging="360"/>
      </w:pPr>
    </w:lvl>
    <w:lvl w:ilvl="7" w:tplc="04150019" w:tentative="1">
      <w:start w:val="1"/>
      <w:numFmt w:val="lowerLetter"/>
      <w:lvlText w:val="%8."/>
      <w:lvlJc w:val="left"/>
      <w:pPr>
        <w:ind w:left="5669" w:hanging="360"/>
      </w:pPr>
    </w:lvl>
    <w:lvl w:ilvl="8" w:tplc="0415001B" w:tentative="1">
      <w:start w:val="1"/>
      <w:numFmt w:val="lowerRoman"/>
      <w:lvlText w:val="%9."/>
      <w:lvlJc w:val="right"/>
      <w:pPr>
        <w:ind w:left="6389" w:hanging="180"/>
      </w:pPr>
    </w:lvl>
  </w:abstractNum>
  <w:abstractNum w:abstractNumId="49" w15:restartNumberingAfterBreak="0">
    <w:nsid w:val="6DBB7286"/>
    <w:multiLevelType w:val="hybridMultilevel"/>
    <w:tmpl w:val="A0D811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ECD7585"/>
    <w:multiLevelType w:val="hybridMultilevel"/>
    <w:tmpl w:val="A702927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15:restartNumberingAfterBreak="0">
    <w:nsid w:val="72324957"/>
    <w:multiLevelType w:val="hybridMultilevel"/>
    <w:tmpl w:val="C2B2B620"/>
    <w:lvl w:ilvl="0" w:tplc="6C70A25C">
      <w:start w:val="1"/>
      <w:numFmt w:val="bullet"/>
      <w:lvlText w:val="•"/>
      <w:lvlJc w:val="left"/>
      <w:pPr>
        <w:ind w:left="707" w:hanging="435"/>
      </w:pPr>
      <w:rPr>
        <w:rFonts w:ascii="Arial" w:hAnsi="Arial" w:hint="default"/>
      </w:rPr>
    </w:lvl>
    <w:lvl w:ilvl="1" w:tplc="04150019" w:tentative="1">
      <w:start w:val="1"/>
      <w:numFmt w:val="lowerLetter"/>
      <w:lvlText w:val="%2."/>
      <w:lvlJc w:val="left"/>
      <w:pPr>
        <w:ind w:left="1352" w:hanging="360"/>
      </w:pPr>
    </w:lvl>
    <w:lvl w:ilvl="2" w:tplc="0415001B" w:tentative="1">
      <w:start w:val="1"/>
      <w:numFmt w:val="lowerRoman"/>
      <w:lvlText w:val="%3."/>
      <w:lvlJc w:val="right"/>
      <w:pPr>
        <w:ind w:left="2072" w:hanging="180"/>
      </w:pPr>
    </w:lvl>
    <w:lvl w:ilvl="3" w:tplc="0415000F" w:tentative="1">
      <w:start w:val="1"/>
      <w:numFmt w:val="decimal"/>
      <w:lvlText w:val="%4."/>
      <w:lvlJc w:val="left"/>
      <w:pPr>
        <w:ind w:left="2792" w:hanging="360"/>
      </w:pPr>
    </w:lvl>
    <w:lvl w:ilvl="4" w:tplc="04150019" w:tentative="1">
      <w:start w:val="1"/>
      <w:numFmt w:val="lowerLetter"/>
      <w:lvlText w:val="%5."/>
      <w:lvlJc w:val="left"/>
      <w:pPr>
        <w:ind w:left="3512" w:hanging="360"/>
      </w:pPr>
    </w:lvl>
    <w:lvl w:ilvl="5" w:tplc="0415001B" w:tentative="1">
      <w:start w:val="1"/>
      <w:numFmt w:val="lowerRoman"/>
      <w:lvlText w:val="%6."/>
      <w:lvlJc w:val="right"/>
      <w:pPr>
        <w:ind w:left="4232" w:hanging="180"/>
      </w:pPr>
    </w:lvl>
    <w:lvl w:ilvl="6" w:tplc="0415000F" w:tentative="1">
      <w:start w:val="1"/>
      <w:numFmt w:val="decimal"/>
      <w:lvlText w:val="%7."/>
      <w:lvlJc w:val="left"/>
      <w:pPr>
        <w:ind w:left="4952" w:hanging="360"/>
      </w:pPr>
    </w:lvl>
    <w:lvl w:ilvl="7" w:tplc="04150019" w:tentative="1">
      <w:start w:val="1"/>
      <w:numFmt w:val="lowerLetter"/>
      <w:lvlText w:val="%8."/>
      <w:lvlJc w:val="left"/>
      <w:pPr>
        <w:ind w:left="5672" w:hanging="360"/>
      </w:pPr>
    </w:lvl>
    <w:lvl w:ilvl="8" w:tplc="0415001B" w:tentative="1">
      <w:start w:val="1"/>
      <w:numFmt w:val="lowerRoman"/>
      <w:lvlText w:val="%9."/>
      <w:lvlJc w:val="right"/>
      <w:pPr>
        <w:ind w:left="6392" w:hanging="180"/>
      </w:pPr>
    </w:lvl>
  </w:abstractNum>
  <w:abstractNum w:abstractNumId="52" w15:restartNumberingAfterBreak="0">
    <w:nsid w:val="78D97E53"/>
    <w:multiLevelType w:val="hybridMultilevel"/>
    <w:tmpl w:val="369C5D82"/>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8E701C8"/>
    <w:multiLevelType w:val="hybridMultilevel"/>
    <w:tmpl w:val="20605238"/>
    <w:lvl w:ilvl="0" w:tplc="C6925C0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7B483C5C"/>
    <w:multiLevelType w:val="hybridMultilevel"/>
    <w:tmpl w:val="36942046"/>
    <w:lvl w:ilvl="0" w:tplc="AD24BC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31"/>
  </w:num>
  <w:num w:numId="3">
    <w:abstractNumId w:val="17"/>
  </w:num>
  <w:num w:numId="4">
    <w:abstractNumId w:val="19"/>
  </w:num>
  <w:num w:numId="5">
    <w:abstractNumId w:val="4"/>
  </w:num>
  <w:num w:numId="6">
    <w:abstractNumId w:val="10"/>
  </w:num>
  <w:num w:numId="7">
    <w:abstractNumId w:val="26"/>
  </w:num>
  <w:num w:numId="8">
    <w:abstractNumId w:val="16"/>
  </w:num>
  <w:num w:numId="9">
    <w:abstractNumId w:val="18"/>
  </w:num>
  <w:num w:numId="10">
    <w:abstractNumId w:val="25"/>
  </w:num>
  <w:num w:numId="11">
    <w:abstractNumId w:val="46"/>
  </w:num>
  <w:num w:numId="12">
    <w:abstractNumId w:val="44"/>
  </w:num>
  <w:num w:numId="13">
    <w:abstractNumId w:val="6"/>
  </w:num>
  <w:num w:numId="14">
    <w:abstractNumId w:val="33"/>
  </w:num>
  <w:num w:numId="15">
    <w:abstractNumId w:val="23"/>
  </w:num>
  <w:num w:numId="16">
    <w:abstractNumId w:val="51"/>
  </w:num>
  <w:num w:numId="17">
    <w:abstractNumId w:val="24"/>
  </w:num>
  <w:num w:numId="18">
    <w:abstractNumId w:val="27"/>
  </w:num>
  <w:num w:numId="19">
    <w:abstractNumId w:val="52"/>
  </w:num>
  <w:num w:numId="20">
    <w:abstractNumId w:val="39"/>
  </w:num>
  <w:num w:numId="21">
    <w:abstractNumId w:val="8"/>
  </w:num>
  <w:num w:numId="22">
    <w:abstractNumId w:val="53"/>
  </w:num>
  <w:num w:numId="23">
    <w:abstractNumId w:val="34"/>
  </w:num>
  <w:num w:numId="24">
    <w:abstractNumId w:val="20"/>
  </w:num>
  <w:num w:numId="25">
    <w:abstractNumId w:val="21"/>
  </w:num>
  <w:num w:numId="26">
    <w:abstractNumId w:val="38"/>
  </w:num>
  <w:num w:numId="27">
    <w:abstractNumId w:val="43"/>
  </w:num>
  <w:num w:numId="28">
    <w:abstractNumId w:val="42"/>
  </w:num>
  <w:num w:numId="29">
    <w:abstractNumId w:val="7"/>
  </w:num>
  <w:num w:numId="30">
    <w:abstractNumId w:val="15"/>
  </w:num>
  <w:num w:numId="31">
    <w:abstractNumId w:val="3"/>
  </w:num>
  <w:num w:numId="32">
    <w:abstractNumId w:val="12"/>
  </w:num>
  <w:num w:numId="33">
    <w:abstractNumId w:val="48"/>
  </w:num>
  <w:num w:numId="34">
    <w:abstractNumId w:val="49"/>
  </w:num>
  <w:num w:numId="35">
    <w:abstractNumId w:val="45"/>
  </w:num>
  <w:num w:numId="36">
    <w:abstractNumId w:val="5"/>
  </w:num>
  <w:num w:numId="37">
    <w:abstractNumId w:val="28"/>
  </w:num>
  <w:num w:numId="38">
    <w:abstractNumId w:val="2"/>
  </w:num>
  <w:num w:numId="39">
    <w:abstractNumId w:val="36"/>
  </w:num>
  <w:num w:numId="40">
    <w:abstractNumId w:val="29"/>
  </w:num>
  <w:num w:numId="41">
    <w:abstractNumId w:val="47"/>
  </w:num>
  <w:num w:numId="42">
    <w:abstractNumId w:val="9"/>
  </w:num>
  <w:num w:numId="43">
    <w:abstractNumId w:val="30"/>
  </w:num>
  <w:num w:numId="44">
    <w:abstractNumId w:val="0"/>
  </w:num>
  <w:num w:numId="45">
    <w:abstractNumId w:val="54"/>
  </w:num>
  <w:num w:numId="46">
    <w:abstractNumId w:val="13"/>
  </w:num>
  <w:num w:numId="47">
    <w:abstractNumId w:val="11"/>
  </w:num>
  <w:num w:numId="48">
    <w:abstractNumId w:val="1"/>
  </w:num>
  <w:num w:numId="49">
    <w:abstractNumId w:val="32"/>
  </w:num>
  <w:num w:numId="50">
    <w:abstractNumId w:val="37"/>
  </w:num>
  <w:num w:numId="51">
    <w:abstractNumId w:val="40"/>
  </w:num>
  <w:num w:numId="52">
    <w:abstractNumId w:val="14"/>
  </w:num>
  <w:num w:numId="53">
    <w:abstractNumId w:val="41"/>
  </w:num>
  <w:num w:numId="54">
    <w:abstractNumId w:val="50"/>
  </w:num>
  <w:num w:numId="55">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022"/>
    <w:rsid w:val="00001022"/>
    <w:rsid w:val="00002424"/>
    <w:rsid w:val="000030D1"/>
    <w:rsid w:val="00003DFE"/>
    <w:rsid w:val="00004F53"/>
    <w:rsid w:val="00006715"/>
    <w:rsid w:val="00006AA2"/>
    <w:rsid w:val="00006B3E"/>
    <w:rsid w:val="00010A4B"/>
    <w:rsid w:val="0001138D"/>
    <w:rsid w:val="000132AD"/>
    <w:rsid w:val="000136BD"/>
    <w:rsid w:val="000136D4"/>
    <w:rsid w:val="0001379C"/>
    <w:rsid w:val="00014093"/>
    <w:rsid w:val="00014354"/>
    <w:rsid w:val="0001499D"/>
    <w:rsid w:val="00014E75"/>
    <w:rsid w:val="000151A5"/>
    <w:rsid w:val="000155C5"/>
    <w:rsid w:val="0001670C"/>
    <w:rsid w:val="00016AD9"/>
    <w:rsid w:val="00016CDB"/>
    <w:rsid w:val="000175D1"/>
    <w:rsid w:val="0002016E"/>
    <w:rsid w:val="00021D77"/>
    <w:rsid w:val="00022B25"/>
    <w:rsid w:val="00024515"/>
    <w:rsid w:val="00024C1F"/>
    <w:rsid w:val="00024C56"/>
    <w:rsid w:val="00025F15"/>
    <w:rsid w:val="000260D7"/>
    <w:rsid w:val="0002616B"/>
    <w:rsid w:val="00026CE3"/>
    <w:rsid w:val="00027648"/>
    <w:rsid w:val="00027F01"/>
    <w:rsid w:val="000313B9"/>
    <w:rsid w:val="00031F75"/>
    <w:rsid w:val="0003240A"/>
    <w:rsid w:val="000327AC"/>
    <w:rsid w:val="00032BFF"/>
    <w:rsid w:val="00033CE0"/>
    <w:rsid w:val="000350D1"/>
    <w:rsid w:val="00036537"/>
    <w:rsid w:val="0003661D"/>
    <w:rsid w:val="00040672"/>
    <w:rsid w:val="00044954"/>
    <w:rsid w:val="00044E28"/>
    <w:rsid w:val="000454A5"/>
    <w:rsid w:val="00045B27"/>
    <w:rsid w:val="00046286"/>
    <w:rsid w:val="00046716"/>
    <w:rsid w:val="00047606"/>
    <w:rsid w:val="00047F9A"/>
    <w:rsid w:val="00050B5A"/>
    <w:rsid w:val="00052736"/>
    <w:rsid w:val="000534E6"/>
    <w:rsid w:val="000537FA"/>
    <w:rsid w:val="00053E16"/>
    <w:rsid w:val="0005482E"/>
    <w:rsid w:val="00054B7D"/>
    <w:rsid w:val="000550F0"/>
    <w:rsid w:val="00056596"/>
    <w:rsid w:val="000579E9"/>
    <w:rsid w:val="000601E0"/>
    <w:rsid w:val="00060B16"/>
    <w:rsid w:val="00064190"/>
    <w:rsid w:val="000644DB"/>
    <w:rsid w:val="0006535A"/>
    <w:rsid w:val="00065B8D"/>
    <w:rsid w:val="00066335"/>
    <w:rsid w:val="000674D3"/>
    <w:rsid w:val="0006773F"/>
    <w:rsid w:val="000701E2"/>
    <w:rsid w:val="00070871"/>
    <w:rsid w:val="00070E5E"/>
    <w:rsid w:val="000712F5"/>
    <w:rsid w:val="00073578"/>
    <w:rsid w:val="000750DF"/>
    <w:rsid w:val="00075D02"/>
    <w:rsid w:val="00076768"/>
    <w:rsid w:val="0007747D"/>
    <w:rsid w:val="000774A2"/>
    <w:rsid w:val="0008020B"/>
    <w:rsid w:val="000821A3"/>
    <w:rsid w:val="000827AC"/>
    <w:rsid w:val="00083A71"/>
    <w:rsid w:val="0008500B"/>
    <w:rsid w:val="000858A0"/>
    <w:rsid w:val="000910FA"/>
    <w:rsid w:val="00091219"/>
    <w:rsid w:val="000920FE"/>
    <w:rsid w:val="00092594"/>
    <w:rsid w:val="0009307F"/>
    <w:rsid w:val="00095D92"/>
    <w:rsid w:val="00095EE5"/>
    <w:rsid w:val="000969E0"/>
    <w:rsid w:val="000A1425"/>
    <w:rsid w:val="000A39D8"/>
    <w:rsid w:val="000A446F"/>
    <w:rsid w:val="000A4DE5"/>
    <w:rsid w:val="000A575E"/>
    <w:rsid w:val="000A5BF3"/>
    <w:rsid w:val="000A68AE"/>
    <w:rsid w:val="000B0C31"/>
    <w:rsid w:val="000B0EA4"/>
    <w:rsid w:val="000B14A5"/>
    <w:rsid w:val="000B3BCF"/>
    <w:rsid w:val="000B4606"/>
    <w:rsid w:val="000B5EF5"/>
    <w:rsid w:val="000B7F4B"/>
    <w:rsid w:val="000C0E09"/>
    <w:rsid w:val="000C51F7"/>
    <w:rsid w:val="000C5DB1"/>
    <w:rsid w:val="000D174B"/>
    <w:rsid w:val="000D250C"/>
    <w:rsid w:val="000D38A4"/>
    <w:rsid w:val="000D3B7F"/>
    <w:rsid w:val="000D4BCD"/>
    <w:rsid w:val="000D5081"/>
    <w:rsid w:val="000E0150"/>
    <w:rsid w:val="000E08E0"/>
    <w:rsid w:val="000E1408"/>
    <w:rsid w:val="000E254D"/>
    <w:rsid w:val="000E330F"/>
    <w:rsid w:val="000E3985"/>
    <w:rsid w:val="000E50C5"/>
    <w:rsid w:val="000E5397"/>
    <w:rsid w:val="000E5637"/>
    <w:rsid w:val="000E63AA"/>
    <w:rsid w:val="000E711B"/>
    <w:rsid w:val="000E73E1"/>
    <w:rsid w:val="000F02C7"/>
    <w:rsid w:val="000F0592"/>
    <w:rsid w:val="000F0B71"/>
    <w:rsid w:val="000F10E7"/>
    <w:rsid w:val="000F3A23"/>
    <w:rsid w:val="000F5853"/>
    <w:rsid w:val="000F5F68"/>
    <w:rsid w:val="00100AF0"/>
    <w:rsid w:val="00101629"/>
    <w:rsid w:val="001031F4"/>
    <w:rsid w:val="00103CEE"/>
    <w:rsid w:val="001041BE"/>
    <w:rsid w:val="001042BC"/>
    <w:rsid w:val="001055EA"/>
    <w:rsid w:val="0010640D"/>
    <w:rsid w:val="00107159"/>
    <w:rsid w:val="0010736C"/>
    <w:rsid w:val="001078F2"/>
    <w:rsid w:val="00107DDB"/>
    <w:rsid w:val="0011015C"/>
    <w:rsid w:val="001109FE"/>
    <w:rsid w:val="00110E2A"/>
    <w:rsid w:val="00111075"/>
    <w:rsid w:val="00111A72"/>
    <w:rsid w:val="00112BE0"/>
    <w:rsid w:val="001132C1"/>
    <w:rsid w:val="0011347A"/>
    <w:rsid w:val="00113F47"/>
    <w:rsid w:val="00114745"/>
    <w:rsid w:val="001156A5"/>
    <w:rsid w:val="00115BDE"/>
    <w:rsid w:val="00115FB0"/>
    <w:rsid w:val="001168A2"/>
    <w:rsid w:val="00117685"/>
    <w:rsid w:val="00117CA3"/>
    <w:rsid w:val="00117FC8"/>
    <w:rsid w:val="001205E6"/>
    <w:rsid w:val="00120BB9"/>
    <w:rsid w:val="00121658"/>
    <w:rsid w:val="00121BB3"/>
    <w:rsid w:val="00122388"/>
    <w:rsid w:val="00123B65"/>
    <w:rsid w:val="00123E07"/>
    <w:rsid w:val="0012440F"/>
    <w:rsid w:val="001253D1"/>
    <w:rsid w:val="00127681"/>
    <w:rsid w:val="0013013D"/>
    <w:rsid w:val="00131249"/>
    <w:rsid w:val="00131572"/>
    <w:rsid w:val="001319E1"/>
    <w:rsid w:val="00133A04"/>
    <w:rsid w:val="00135F7F"/>
    <w:rsid w:val="001363F3"/>
    <w:rsid w:val="00136590"/>
    <w:rsid w:val="0013683B"/>
    <w:rsid w:val="00137120"/>
    <w:rsid w:val="0014045C"/>
    <w:rsid w:val="0014071A"/>
    <w:rsid w:val="001417A1"/>
    <w:rsid w:val="00142095"/>
    <w:rsid w:val="001430A7"/>
    <w:rsid w:val="001431B2"/>
    <w:rsid w:val="00143981"/>
    <w:rsid w:val="00143FCA"/>
    <w:rsid w:val="001441C5"/>
    <w:rsid w:val="00144284"/>
    <w:rsid w:val="001444B1"/>
    <w:rsid w:val="001459D9"/>
    <w:rsid w:val="0014759C"/>
    <w:rsid w:val="00147FB5"/>
    <w:rsid w:val="00150061"/>
    <w:rsid w:val="00153637"/>
    <w:rsid w:val="0015369A"/>
    <w:rsid w:val="00153F47"/>
    <w:rsid w:val="00153F9C"/>
    <w:rsid w:val="001560B1"/>
    <w:rsid w:val="001579C9"/>
    <w:rsid w:val="00157CD9"/>
    <w:rsid w:val="00157EC8"/>
    <w:rsid w:val="00157FF9"/>
    <w:rsid w:val="00160BC2"/>
    <w:rsid w:val="00160EBE"/>
    <w:rsid w:val="001614F8"/>
    <w:rsid w:val="00163662"/>
    <w:rsid w:val="0016443D"/>
    <w:rsid w:val="00165585"/>
    <w:rsid w:val="00166A88"/>
    <w:rsid w:val="00166BDB"/>
    <w:rsid w:val="00167915"/>
    <w:rsid w:val="0017315E"/>
    <w:rsid w:val="00174F4F"/>
    <w:rsid w:val="00174F72"/>
    <w:rsid w:val="00175BE6"/>
    <w:rsid w:val="00177474"/>
    <w:rsid w:val="0018006D"/>
    <w:rsid w:val="00180BF1"/>
    <w:rsid w:val="00180F35"/>
    <w:rsid w:val="001818C8"/>
    <w:rsid w:val="00182B2F"/>
    <w:rsid w:val="001833D7"/>
    <w:rsid w:val="00183E67"/>
    <w:rsid w:val="001843E1"/>
    <w:rsid w:val="00184D6E"/>
    <w:rsid w:val="001853B6"/>
    <w:rsid w:val="00185414"/>
    <w:rsid w:val="001855B1"/>
    <w:rsid w:val="00186054"/>
    <w:rsid w:val="00186FD1"/>
    <w:rsid w:val="00190098"/>
    <w:rsid w:val="00190F59"/>
    <w:rsid w:val="0019272D"/>
    <w:rsid w:val="00192BCB"/>
    <w:rsid w:val="00194E1E"/>
    <w:rsid w:val="00196D90"/>
    <w:rsid w:val="001A0224"/>
    <w:rsid w:val="001A0AEF"/>
    <w:rsid w:val="001A11A3"/>
    <w:rsid w:val="001A18D6"/>
    <w:rsid w:val="001A198F"/>
    <w:rsid w:val="001A220B"/>
    <w:rsid w:val="001A27EE"/>
    <w:rsid w:val="001A4016"/>
    <w:rsid w:val="001A4600"/>
    <w:rsid w:val="001A5542"/>
    <w:rsid w:val="001A592F"/>
    <w:rsid w:val="001A5EBE"/>
    <w:rsid w:val="001A5EFA"/>
    <w:rsid w:val="001A651A"/>
    <w:rsid w:val="001A6D3D"/>
    <w:rsid w:val="001A796B"/>
    <w:rsid w:val="001A7CF2"/>
    <w:rsid w:val="001B02E1"/>
    <w:rsid w:val="001B0BA7"/>
    <w:rsid w:val="001B18F6"/>
    <w:rsid w:val="001B20EB"/>
    <w:rsid w:val="001B274A"/>
    <w:rsid w:val="001B41D2"/>
    <w:rsid w:val="001B422C"/>
    <w:rsid w:val="001B63F0"/>
    <w:rsid w:val="001C1354"/>
    <w:rsid w:val="001C1A8E"/>
    <w:rsid w:val="001C1E73"/>
    <w:rsid w:val="001C217D"/>
    <w:rsid w:val="001C401E"/>
    <w:rsid w:val="001C4B9A"/>
    <w:rsid w:val="001C4D7A"/>
    <w:rsid w:val="001C5099"/>
    <w:rsid w:val="001C5136"/>
    <w:rsid w:val="001C6A0B"/>
    <w:rsid w:val="001C6FFE"/>
    <w:rsid w:val="001C7678"/>
    <w:rsid w:val="001D0225"/>
    <w:rsid w:val="001D0D87"/>
    <w:rsid w:val="001D0F00"/>
    <w:rsid w:val="001D0F36"/>
    <w:rsid w:val="001D16B9"/>
    <w:rsid w:val="001D33A3"/>
    <w:rsid w:val="001D3753"/>
    <w:rsid w:val="001D44FF"/>
    <w:rsid w:val="001D458B"/>
    <w:rsid w:val="001D554F"/>
    <w:rsid w:val="001D6339"/>
    <w:rsid w:val="001D74F3"/>
    <w:rsid w:val="001E0617"/>
    <w:rsid w:val="001E0FC5"/>
    <w:rsid w:val="001E4613"/>
    <w:rsid w:val="001E4A94"/>
    <w:rsid w:val="001E5479"/>
    <w:rsid w:val="001E6AA4"/>
    <w:rsid w:val="001E79C0"/>
    <w:rsid w:val="001F12F0"/>
    <w:rsid w:val="001F13F7"/>
    <w:rsid w:val="001F2FA7"/>
    <w:rsid w:val="001F3775"/>
    <w:rsid w:val="001F5201"/>
    <w:rsid w:val="001F548D"/>
    <w:rsid w:val="001F571E"/>
    <w:rsid w:val="001F6117"/>
    <w:rsid w:val="00201576"/>
    <w:rsid w:val="0020266E"/>
    <w:rsid w:val="0020283C"/>
    <w:rsid w:val="00202C2E"/>
    <w:rsid w:val="00203FEE"/>
    <w:rsid w:val="00205F0B"/>
    <w:rsid w:val="0021086A"/>
    <w:rsid w:val="00210D56"/>
    <w:rsid w:val="002147EB"/>
    <w:rsid w:val="002158B4"/>
    <w:rsid w:val="002174A2"/>
    <w:rsid w:val="00221F90"/>
    <w:rsid w:val="00224329"/>
    <w:rsid w:val="00224B00"/>
    <w:rsid w:val="00226E3D"/>
    <w:rsid w:val="0022771D"/>
    <w:rsid w:val="0023031C"/>
    <w:rsid w:val="00231489"/>
    <w:rsid w:val="002326BA"/>
    <w:rsid w:val="002328C7"/>
    <w:rsid w:val="0023344B"/>
    <w:rsid w:val="002338FE"/>
    <w:rsid w:val="00233CCF"/>
    <w:rsid w:val="00233D3F"/>
    <w:rsid w:val="00234531"/>
    <w:rsid w:val="00234552"/>
    <w:rsid w:val="00234B06"/>
    <w:rsid w:val="0023535F"/>
    <w:rsid w:val="00235C18"/>
    <w:rsid w:val="00235E04"/>
    <w:rsid w:val="00235E33"/>
    <w:rsid w:val="00235F54"/>
    <w:rsid w:val="00236795"/>
    <w:rsid w:val="00237DF6"/>
    <w:rsid w:val="00240306"/>
    <w:rsid w:val="00241014"/>
    <w:rsid w:val="00242E59"/>
    <w:rsid w:val="00243E69"/>
    <w:rsid w:val="002440ED"/>
    <w:rsid w:val="00245E98"/>
    <w:rsid w:val="00246BB5"/>
    <w:rsid w:val="0024704B"/>
    <w:rsid w:val="00247682"/>
    <w:rsid w:val="00247B93"/>
    <w:rsid w:val="0025012C"/>
    <w:rsid w:val="00250213"/>
    <w:rsid w:val="00250C0F"/>
    <w:rsid w:val="002512CB"/>
    <w:rsid w:val="00252CCC"/>
    <w:rsid w:val="002534D1"/>
    <w:rsid w:val="00254EA7"/>
    <w:rsid w:val="00256832"/>
    <w:rsid w:val="002573AB"/>
    <w:rsid w:val="00257688"/>
    <w:rsid w:val="00257D95"/>
    <w:rsid w:val="00261427"/>
    <w:rsid w:val="00261891"/>
    <w:rsid w:val="00262EDE"/>
    <w:rsid w:val="00263D41"/>
    <w:rsid w:val="00264543"/>
    <w:rsid w:val="00265A54"/>
    <w:rsid w:val="00265E70"/>
    <w:rsid w:val="00265EE5"/>
    <w:rsid w:val="00265F66"/>
    <w:rsid w:val="0026652E"/>
    <w:rsid w:val="002668AF"/>
    <w:rsid w:val="00267137"/>
    <w:rsid w:val="0026736F"/>
    <w:rsid w:val="002675CF"/>
    <w:rsid w:val="00267E3D"/>
    <w:rsid w:val="00270143"/>
    <w:rsid w:val="00271F6D"/>
    <w:rsid w:val="0027529C"/>
    <w:rsid w:val="00276277"/>
    <w:rsid w:val="002767BD"/>
    <w:rsid w:val="0027727D"/>
    <w:rsid w:val="00281E08"/>
    <w:rsid w:val="00281F61"/>
    <w:rsid w:val="00282261"/>
    <w:rsid w:val="00282730"/>
    <w:rsid w:val="00283146"/>
    <w:rsid w:val="00283845"/>
    <w:rsid w:val="002843EC"/>
    <w:rsid w:val="00284E66"/>
    <w:rsid w:val="002854DE"/>
    <w:rsid w:val="00285ED9"/>
    <w:rsid w:val="00290B95"/>
    <w:rsid w:val="00290F4E"/>
    <w:rsid w:val="00291B06"/>
    <w:rsid w:val="00292749"/>
    <w:rsid w:val="00294943"/>
    <w:rsid w:val="00294D28"/>
    <w:rsid w:val="00295522"/>
    <w:rsid w:val="002958FF"/>
    <w:rsid w:val="00295D2B"/>
    <w:rsid w:val="00295E4F"/>
    <w:rsid w:val="00296F26"/>
    <w:rsid w:val="0029705E"/>
    <w:rsid w:val="002977EF"/>
    <w:rsid w:val="00297B46"/>
    <w:rsid w:val="00297F94"/>
    <w:rsid w:val="002A0D09"/>
    <w:rsid w:val="002A1932"/>
    <w:rsid w:val="002A4003"/>
    <w:rsid w:val="002A4057"/>
    <w:rsid w:val="002A4ADC"/>
    <w:rsid w:val="002A4CED"/>
    <w:rsid w:val="002A51DF"/>
    <w:rsid w:val="002A59D7"/>
    <w:rsid w:val="002A6064"/>
    <w:rsid w:val="002A66D6"/>
    <w:rsid w:val="002A684D"/>
    <w:rsid w:val="002A6C2C"/>
    <w:rsid w:val="002A7A0F"/>
    <w:rsid w:val="002B10B7"/>
    <w:rsid w:val="002B1850"/>
    <w:rsid w:val="002B29ED"/>
    <w:rsid w:val="002B351A"/>
    <w:rsid w:val="002B3626"/>
    <w:rsid w:val="002B3E7A"/>
    <w:rsid w:val="002B4057"/>
    <w:rsid w:val="002B5414"/>
    <w:rsid w:val="002B608F"/>
    <w:rsid w:val="002B631F"/>
    <w:rsid w:val="002B664C"/>
    <w:rsid w:val="002B6AD8"/>
    <w:rsid w:val="002B6FF3"/>
    <w:rsid w:val="002C1DBA"/>
    <w:rsid w:val="002C2CCD"/>
    <w:rsid w:val="002C2FA0"/>
    <w:rsid w:val="002C512E"/>
    <w:rsid w:val="002C58D4"/>
    <w:rsid w:val="002C7813"/>
    <w:rsid w:val="002C7D39"/>
    <w:rsid w:val="002D05C7"/>
    <w:rsid w:val="002D0904"/>
    <w:rsid w:val="002D0CE9"/>
    <w:rsid w:val="002D2485"/>
    <w:rsid w:val="002D2777"/>
    <w:rsid w:val="002D29E7"/>
    <w:rsid w:val="002D3FBD"/>
    <w:rsid w:val="002D4BB5"/>
    <w:rsid w:val="002D547A"/>
    <w:rsid w:val="002D5650"/>
    <w:rsid w:val="002D5668"/>
    <w:rsid w:val="002D5AA3"/>
    <w:rsid w:val="002D6179"/>
    <w:rsid w:val="002D65EE"/>
    <w:rsid w:val="002E045D"/>
    <w:rsid w:val="002E1E3A"/>
    <w:rsid w:val="002E281B"/>
    <w:rsid w:val="002E3105"/>
    <w:rsid w:val="002E35F9"/>
    <w:rsid w:val="002E36A3"/>
    <w:rsid w:val="002E391D"/>
    <w:rsid w:val="002E3F01"/>
    <w:rsid w:val="002E4577"/>
    <w:rsid w:val="002E4CFF"/>
    <w:rsid w:val="002E4D6C"/>
    <w:rsid w:val="002E552B"/>
    <w:rsid w:val="002E63DF"/>
    <w:rsid w:val="002E7620"/>
    <w:rsid w:val="002E76B7"/>
    <w:rsid w:val="002E7A06"/>
    <w:rsid w:val="002F1458"/>
    <w:rsid w:val="002F14F4"/>
    <w:rsid w:val="002F1958"/>
    <w:rsid w:val="002F2334"/>
    <w:rsid w:val="002F2E97"/>
    <w:rsid w:val="002F3741"/>
    <w:rsid w:val="002F5913"/>
    <w:rsid w:val="002F659E"/>
    <w:rsid w:val="002F6838"/>
    <w:rsid w:val="002F70B8"/>
    <w:rsid w:val="002F76B9"/>
    <w:rsid w:val="00301317"/>
    <w:rsid w:val="00303896"/>
    <w:rsid w:val="003056A5"/>
    <w:rsid w:val="003065C0"/>
    <w:rsid w:val="00307B50"/>
    <w:rsid w:val="00310144"/>
    <w:rsid w:val="00310581"/>
    <w:rsid w:val="0031185A"/>
    <w:rsid w:val="0031242D"/>
    <w:rsid w:val="003125A5"/>
    <w:rsid w:val="00315207"/>
    <w:rsid w:val="00315E9F"/>
    <w:rsid w:val="00317798"/>
    <w:rsid w:val="00317AA4"/>
    <w:rsid w:val="00320579"/>
    <w:rsid w:val="003211A6"/>
    <w:rsid w:val="00321F55"/>
    <w:rsid w:val="00321FB3"/>
    <w:rsid w:val="00323312"/>
    <w:rsid w:val="00323D67"/>
    <w:rsid w:val="00324CD1"/>
    <w:rsid w:val="00325724"/>
    <w:rsid w:val="00326531"/>
    <w:rsid w:val="00327ACC"/>
    <w:rsid w:val="003315A0"/>
    <w:rsid w:val="003329B9"/>
    <w:rsid w:val="00333480"/>
    <w:rsid w:val="00334587"/>
    <w:rsid w:val="00335815"/>
    <w:rsid w:val="00336338"/>
    <w:rsid w:val="00336878"/>
    <w:rsid w:val="00336A0F"/>
    <w:rsid w:val="00336CBB"/>
    <w:rsid w:val="003401E8"/>
    <w:rsid w:val="003404FD"/>
    <w:rsid w:val="0034069E"/>
    <w:rsid w:val="00340923"/>
    <w:rsid w:val="00341487"/>
    <w:rsid w:val="003425FB"/>
    <w:rsid w:val="00342C55"/>
    <w:rsid w:val="003431AE"/>
    <w:rsid w:val="0034464B"/>
    <w:rsid w:val="0034560F"/>
    <w:rsid w:val="00351C86"/>
    <w:rsid w:val="00352635"/>
    <w:rsid w:val="00352B32"/>
    <w:rsid w:val="00352C7C"/>
    <w:rsid w:val="003539AF"/>
    <w:rsid w:val="00355468"/>
    <w:rsid w:val="00356096"/>
    <w:rsid w:val="00361805"/>
    <w:rsid w:val="003622F3"/>
    <w:rsid w:val="0036525F"/>
    <w:rsid w:val="00366BD7"/>
    <w:rsid w:val="00366F26"/>
    <w:rsid w:val="003709D0"/>
    <w:rsid w:val="00370F3F"/>
    <w:rsid w:val="00371B5B"/>
    <w:rsid w:val="0037363F"/>
    <w:rsid w:val="0037421C"/>
    <w:rsid w:val="00374EB0"/>
    <w:rsid w:val="00375369"/>
    <w:rsid w:val="00375EF8"/>
    <w:rsid w:val="003764EA"/>
    <w:rsid w:val="00377739"/>
    <w:rsid w:val="00377BB8"/>
    <w:rsid w:val="00377D9C"/>
    <w:rsid w:val="00380C6B"/>
    <w:rsid w:val="00381A62"/>
    <w:rsid w:val="00383E55"/>
    <w:rsid w:val="00385636"/>
    <w:rsid w:val="0038591A"/>
    <w:rsid w:val="00385AD0"/>
    <w:rsid w:val="00385B46"/>
    <w:rsid w:val="00387884"/>
    <w:rsid w:val="003901EA"/>
    <w:rsid w:val="00390328"/>
    <w:rsid w:val="00390ABD"/>
    <w:rsid w:val="00391DAC"/>
    <w:rsid w:val="00391E85"/>
    <w:rsid w:val="00392013"/>
    <w:rsid w:val="00392361"/>
    <w:rsid w:val="00392B48"/>
    <w:rsid w:val="00393361"/>
    <w:rsid w:val="00393B07"/>
    <w:rsid w:val="00394AC3"/>
    <w:rsid w:val="00395420"/>
    <w:rsid w:val="00395745"/>
    <w:rsid w:val="00395C2A"/>
    <w:rsid w:val="0039677D"/>
    <w:rsid w:val="00396C84"/>
    <w:rsid w:val="003A05B2"/>
    <w:rsid w:val="003A0CA3"/>
    <w:rsid w:val="003A17A9"/>
    <w:rsid w:val="003A18FD"/>
    <w:rsid w:val="003A1B5C"/>
    <w:rsid w:val="003A1C91"/>
    <w:rsid w:val="003A24EE"/>
    <w:rsid w:val="003A2B57"/>
    <w:rsid w:val="003A2CB4"/>
    <w:rsid w:val="003A36D3"/>
    <w:rsid w:val="003A3930"/>
    <w:rsid w:val="003A3A70"/>
    <w:rsid w:val="003A4305"/>
    <w:rsid w:val="003A4C3A"/>
    <w:rsid w:val="003A7CB1"/>
    <w:rsid w:val="003B08F1"/>
    <w:rsid w:val="003B13A4"/>
    <w:rsid w:val="003B2561"/>
    <w:rsid w:val="003B2958"/>
    <w:rsid w:val="003B38E8"/>
    <w:rsid w:val="003B5D2D"/>
    <w:rsid w:val="003B5D58"/>
    <w:rsid w:val="003B6093"/>
    <w:rsid w:val="003B653B"/>
    <w:rsid w:val="003C02C2"/>
    <w:rsid w:val="003C1F79"/>
    <w:rsid w:val="003C43E9"/>
    <w:rsid w:val="003C43F0"/>
    <w:rsid w:val="003C6000"/>
    <w:rsid w:val="003C6DBB"/>
    <w:rsid w:val="003D11B4"/>
    <w:rsid w:val="003D1577"/>
    <w:rsid w:val="003D35BF"/>
    <w:rsid w:val="003D4116"/>
    <w:rsid w:val="003D5178"/>
    <w:rsid w:val="003D53AE"/>
    <w:rsid w:val="003D5A99"/>
    <w:rsid w:val="003E20DB"/>
    <w:rsid w:val="003E259A"/>
    <w:rsid w:val="003E3E93"/>
    <w:rsid w:val="003E58A9"/>
    <w:rsid w:val="003E69CF"/>
    <w:rsid w:val="003E7345"/>
    <w:rsid w:val="003E754D"/>
    <w:rsid w:val="003F0636"/>
    <w:rsid w:val="003F302B"/>
    <w:rsid w:val="003F40EA"/>
    <w:rsid w:val="003F4529"/>
    <w:rsid w:val="003F485F"/>
    <w:rsid w:val="003F4F07"/>
    <w:rsid w:val="003F58B3"/>
    <w:rsid w:val="0040224F"/>
    <w:rsid w:val="004022B8"/>
    <w:rsid w:val="004028ED"/>
    <w:rsid w:val="004035EB"/>
    <w:rsid w:val="00405D21"/>
    <w:rsid w:val="00406D76"/>
    <w:rsid w:val="00407206"/>
    <w:rsid w:val="00407213"/>
    <w:rsid w:val="004108F2"/>
    <w:rsid w:val="00410E62"/>
    <w:rsid w:val="0041172B"/>
    <w:rsid w:val="00412AA1"/>
    <w:rsid w:val="004135A3"/>
    <w:rsid w:val="00413B2E"/>
    <w:rsid w:val="00414F5F"/>
    <w:rsid w:val="00416140"/>
    <w:rsid w:val="00416EFC"/>
    <w:rsid w:val="004177C0"/>
    <w:rsid w:val="0042045E"/>
    <w:rsid w:val="00421242"/>
    <w:rsid w:val="004214CE"/>
    <w:rsid w:val="00421656"/>
    <w:rsid w:val="00421D08"/>
    <w:rsid w:val="0042313B"/>
    <w:rsid w:val="00424376"/>
    <w:rsid w:val="00424892"/>
    <w:rsid w:val="0042546F"/>
    <w:rsid w:val="00426712"/>
    <w:rsid w:val="004267DA"/>
    <w:rsid w:val="0042785B"/>
    <w:rsid w:val="00427933"/>
    <w:rsid w:val="004323FD"/>
    <w:rsid w:val="00432B20"/>
    <w:rsid w:val="00432D7E"/>
    <w:rsid w:val="00433D6F"/>
    <w:rsid w:val="00433FCD"/>
    <w:rsid w:val="00433FFA"/>
    <w:rsid w:val="00435265"/>
    <w:rsid w:val="00435C86"/>
    <w:rsid w:val="00436316"/>
    <w:rsid w:val="00437241"/>
    <w:rsid w:val="004406DC"/>
    <w:rsid w:val="00441015"/>
    <w:rsid w:val="00441D09"/>
    <w:rsid w:val="00442FA8"/>
    <w:rsid w:val="00443EC9"/>
    <w:rsid w:val="00445CC3"/>
    <w:rsid w:val="00446F4A"/>
    <w:rsid w:val="004472CF"/>
    <w:rsid w:val="00447CAB"/>
    <w:rsid w:val="004507F0"/>
    <w:rsid w:val="00450C23"/>
    <w:rsid w:val="004548CE"/>
    <w:rsid w:val="004549B9"/>
    <w:rsid w:val="00455138"/>
    <w:rsid w:val="00460592"/>
    <w:rsid w:val="0046195A"/>
    <w:rsid w:val="004621DC"/>
    <w:rsid w:val="0046243F"/>
    <w:rsid w:val="004626E4"/>
    <w:rsid w:val="00463A59"/>
    <w:rsid w:val="004674A7"/>
    <w:rsid w:val="00467FDF"/>
    <w:rsid w:val="004704D3"/>
    <w:rsid w:val="00470AFF"/>
    <w:rsid w:val="00470EAF"/>
    <w:rsid w:val="00472F68"/>
    <w:rsid w:val="00474123"/>
    <w:rsid w:val="0047442B"/>
    <w:rsid w:val="0047448E"/>
    <w:rsid w:val="004761E6"/>
    <w:rsid w:val="00476D7F"/>
    <w:rsid w:val="004772AD"/>
    <w:rsid w:val="00477861"/>
    <w:rsid w:val="00477A63"/>
    <w:rsid w:val="00477CBD"/>
    <w:rsid w:val="004807C0"/>
    <w:rsid w:val="004811A5"/>
    <w:rsid w:val="00482735"/>
    <w:rsid w:val="00482BED"/>
    <w:rsid w:val="00483FBC"/>
    <w:rsid w:val="00485AC8"/>
    <w:rsid w:val="00485B9A"/>
    <w:rsid w:val="004865F7"/>
    <w:rsid w:val="00486DD8"/>
    <w:rsid w:val="0049030C"/>
    <w:rsid w:val="00490B9D"/>
    <w:rsid w:val="00493069"/>
    <w:rsid w:val="00493A90"/>
    <w:rsid w:val="0049503A"/>
    <w:rsid w:val="004956E1"/>
    <w:rsid w:val="004A1EAE"/>
    <w:rsid w:val="004A210B"/>
    <w:rsid w:val="004A269B"/>
    <w:rsid w:val="004A2D12"/>
    <w:rsid w:val="004A3823"/>
    <w:rsid w:val="004A3931"/>
    <w:rsid w:val="004A5BB9"/>
    <w:rsid w:val="004A6B52"/>
    <w:rsid w:val="004A7121"/>
    <w:rsid w:val="004B002B"/>
    <w:rsid w:val="004B0382"/>
    <w:rsid w:val="004B18D2"/>
    <w:rsid w:val="004B1EBE"/>
    <w:rsid w:val="004B29BE"/>
    <w:rsid w:val="004B2FE0"/>
    <w:rsid w:val="004B3330"/>
    <w:rsid w:val="004B3814"/>
    <w:rsid w:val="004B3CBE"/>
    <w:rsid w:val="004B4F1F"/>
    <w:rsid w:val="004B630B"/>
    <w:rsid w:val="004B7829"/>
    <w:rsid w:val="004C17A2"/>
    <w:rsid w:val="004C229B"/>
    <w:rsid w:val="004C235B"/>
    <w:rsid w:val="004C2E58"/>
    <w:rsid w:val="004C3335"/>
    <w:rsid w:val="004C3577"/>
    <w:rsid w:val="004C36C3"/>
    <w:rsid w:val="004C4FB4"/>
    <w:rsid w:val="004C5BE8"/>
    <w:rsid w:val="004C6361"/>
    <w:rsid w:val="004C6504"/>
    <w:rsid w:val="004C6540"/>
    <w:rsid w:val="004C7BB4"/>
    <w:rsid w:val="004D2AE7"/>
    <w:rsid w:val="004D2DE2"/>
    <w:rsid w:val="004D2F2F"/>
    <w:rsid w:val="004D34C6"/>
    <w:rsid w:val="004D34E2"/>
    <w:rsid w:val="004D59B7"/>
    <w:rsid w:val="004D5F37"/>
    <w:rsid w:val="004D669C"/>
    <w:rsid w:val="004D6799"/>
    <w:rsid w:val="004D741F"/>
    <w:rsid w:val="004E4047"/>
    <w:rsid w:val="004E4556"/>
    <w:rsid w:val="004E5EDD"/>
    <w:rsid w:val="004E64CC"/>
    <w:rsid w:val="004E6898"/>
    <w:rsid w:val="004E691A"/>
    <w:rsid w:val="004E7E2C"/>
    <w:rsid w:val="004F2550"/>
    <w:rsid w:val="004F297E"/>
    <w:rsid w:val="004F3C85"/>
    <w:rsid w:val="004F566E"/>
    <w:rsid w:val="004F5E6A"/>
    <w:rsid w:val="004F64D4"/>
    <w:rsid w:val="004F72E8"/>
    <w:rsid w:val="004F7E74"/>
    <w:rsid w:val="00500FE6"/>
    <w:rsid w:val="005014D1"/>
    <w:rsid w:val="00501791"/>
    <w:rsid w:val="00501B79"/>
    <w:rsid w:val="00503742"/>
    <w:rsid w:val="00503C99"/>
    <w:rsid w:val="0050483C"/>
    <w:rsid w:val="00504D2E"/>
    <w:rsid w:val="005050E7"/>
    <w:rsid w:val="00505C17"/>
    <w:rsid w:val="0051016A"/>
    <w:rsid w:val="00510852"/>
    <w:rsid w:val="00511211"/>
    <w:rsid w:val="00511A6A"/>
    <w:rsid w:val="00511AB7"/>
    <w:rsid w:val="00511F46"/>
    <w:rsid w:val="005120C7"/>
    <w:rsid w:val="00512C92"/>
    <w:rsid w:val="00514633"/>
    <w:rsid w:val="00514914"/>
    <w:rsid w:val="00515193"/>
    <w:rsid w:val="005152DB"/>
    <w:rsid w:val="005155F8"/>
    <w:rsid w:val="00515919"/>
    <w:rsid w:val="00515C0B"/>
    <w:rsid w:val="00516EF0"/>
    <w:rsid w:val="005213CC"/>
    <w:rsid w:val="00521526"/>
    <w:rsid w:val="00521B6D"/>
    <w:rsid w:val="00522A84"/>
    <w:rsid w:val="005236C6"/>
    <w:rsid w:val="00524F02"/>
    <w:rsid w:val="005304C1"/>
    <w:rsid w:val="005307D1"/>
    <w:rsid w:val="0053096C"/>
    <w:rsid w:val="00530AB9"/>
    <w:rsid w:val="0053128D"/>
    <w:rsid w:val="0053356D"/>
    <w:rsid w:val="0053680F"/>
    <w:rsid w:val="005377A0"/>
    <w:rsid w:val="00540E7A"/>
    <w:rsid w:val="00543610"/>
    <w:rsid w:val="00543C83"/>
    <w:rsid w:val="0054591B"/>
    <w:rsid w:val="00545F82"/>
    <w:rsid w:val="00550849"/>
    <w:rsid w:val="00550C4C"/>
    <w:rsid w:val="00551CDB"/>
    <w:rsid w:val="00552C75"/>
    <w:rsid w:val="00552EEA"/>
    <w:rsid w:val="00554DB8"/>
    <w:rsid w:val="00555280"/>
    <w:rsid w:val="00556755"/>
    <w:rsid w:val="00556882"/>
    <w:rsid w:val="0055725E"/>
    <w:rsid w:val="005578D1"/>
    <w:rsid w:val="00561306"/>
    <w:rsid w:val="005617F8"/>
    <w:rsid w:val="00561D3D"/>
    <w:rsid w:val="00562486"/>
    <w:rsid w:val="0056306C"/>
    <w:rsid w:val="005645A5"/>
    <w:rsid w:val="0056462D"/>
    <w:rsid w:val="005658E2"/>
    <w:rsid w:val="00566CC9"/>
    <w:rsid w:val="00567583"/>
    <w:rsid w:val="0057033F"/>
    <w:rsid w:val="005707D9"/>
    <w:rsid w:val="00570D32"/>
    <w:rsid w:val="0057124D"/>
    <w:rsid w:val="00571BD9"/>
    <w:rsid w:val="00572504"/>
    <w:rsid w:val="00573194"/>
    <w:rsid w:val="0057355C"/>
    <w:rsid w:val="00573A50"/>
    <w:rsid w:val="00580017"/>
    <w:rsid w:val="00580C93"/>
    <w:rsid w:val="005839E5"/>
    <w:rsid w:val="00584E64"/>
    <w:rsid w:val="00585461"/>
    <w:rsid w:val="00586300"/>
    <w:rsid w:val="0058631E"/>
    <w:rsid w:val="0058772D"/>
    <w:rsid w:val="00587C3B"/>
    <w:rsid w:val="00587FED"/>
    <w:rsid w:val="00590F3F"/>
    <w:rsid w:val="00591B62"/>
    <w:rsid w:val="00591D00"/>
    <w:rsid w:val="00591EBE"/>
    <w:rsid w:val="00593104"/>
    <w:rsid w:val="005933D6"/>
    <w:rsid w:val="00593BAB"/>
    <w:rsid w:val="00595550"/>
    <w:rsid w:val="005956E1"/>
    <w:rsid w:val="00595D40"/>
    <w:rsid w:val="00595DF1"/>
    <w:rsid w:val="00595F7F"/>
    <w:rsid w:val="005963FB"/>
    <w:rsid w:val="00596F99"/>
    <w:rsid w:val="00597427"/>
    <w:rsid w:val="00597D3E"/>
    <w:rsid w:val="005A121D"/>
    <w:rsid w:val="005A2472"/>
    <w:rsid w:val="005A3632"/>
    <w:rsid w:val="005A3CC0"/>
    <w:rsid w:val="005A46B4"/>
    <w:rsid w:val="005A5580"/>
    <w:rsid w:val="005A7C87"/>
    <w:rsid w:val="005B0069"/>
    <w:rsid w:val="005B0B21"/>
    <w:rsid w:val="005B0B35"/>
    <w:rsid w:val="005B326B"/>
    <w:rsid w:val="005B4D91"/>
    <w:rsid w:val="005B4FA5"/>
    <w:rsid w:val="005B796E"/>
    <w:rsid w:val="005C1209"/>
    <w:rsid w:val="005C22B1"/>
    <w:rsid w:val="005C2C96"/>
    <w:rsid w:val="005C31E8"/>
    <w:rsid w:val="005C4671"/>
    <w:rsid w:val="005C4A84"/>
    <w:rsid w:val="005C4E36"/>
    <w:rsid w:val="005C5981"/>
    <w:rsid w:val="005C6951"/>
    <w:rsid w:val="005C69F4"/>
    <w:rsid w:val="005C78FD"/>
    <w:rsid w:val="005D3F4B"/>
    <w:rsid w:val="005D46A4"/>
    <w:rsid w:val="005D4D8A"/>
    <w:rsid w:val="005D6997"/>
    <w:rsid w:val="005D6BB2"/>
    <w:rsid w:val="005D7160"/>
    <w:rsid w:val="005E02D8"/>
    <w:rsid w:val="005E0B00"/>
    <w:rsid w:val="005E0C55"/>
    <w:rsid w:val="005E10C1"/>
    <w:rsid w:val="005E1AE1"/>
    <w:rsid w:val="005E214C"/>
    <w:rsid w:val="005E3347"/>
    <w:rsid w:val="005E51D1"/>
    <w:rsid w:val="005E6720"/>
    <w:rsid w:val="005E67FF"/>
    <w:rsid w:val="005F05BA"/>
    <w:rsid w:val="005F05DF"/>
    <w:rsid w:val="005F1628"/>
    <w:rsid w:val="005F2A53"/>
    <w:rsid w:val="005F2E93"/>
    <w:rsid w:val="005F3A18"/>
    <w:rsid w:val="005F4813"/>
    <w:rsid w:val="005F60C5"/>
    <w:rsid w:val="005F7602"/>
    <w:rsid w:val="005F7A5B"/>
    <w:rsid w:val="00600085"/>
    <w:rsid w:val="00600149"/>
    <w:rsid w:val="00600240"/>
    <w:rsid w:val="0060039D"/>
    <w:rsid w:val="00600EAC"/>
    <w:rsid w:val="006015B3"/>
    <w:rsid w:val="0060191C"/>
    <w:rsid w:val="00604875"/>
    <w:rsid w:val="006050B0"/>
    <w:rsid w:val="00605A44"/>
    <w:rsid w:val="006064B4"/>
    <w:rsid w:val="006126A1"/>
    <w:rsid w:val="00612954"/>
    <w:rsid w:val="00612B84"/>
    <w:rsid w:val="0061361E"/>
    <w:rsid w:val="00614C05"/>
    <w:rsid w:val="00615794"/>
    <w:rsid w:val="006222D0"/>
    <w:rsid w:val="006233C1"/>
    <w:rsid w:val="0062364E"/>
    <w:rsid w:val="006240A4"/>
    <w:rsid w:val="00626FB3"/>
    <w:rsid w:val="00630C35"/>
    <w:rsid w:val="00632484"/>
    <w:rsid w:val="0063274D"/>
    <w:rsid w:val="00632C1C"/>
    <w:rsid w:val="00632FEA"/>
    <w:rsid w:val="006338D4"/>
    <w:rsid w:val="006342F3"/>
    <w:rsid w:val="006345BB"/>
    <w:rsid w:val="00634BEC"/>
    <w:rsid w:val="00636F3E"/>
    <w:rsid w:val="0064081E"/>
    <w:rsid w:val="00640A1F"/>
    <w:rsid w:val="00642EA6"/>
    <w:rsid w:val="00643066"/>
    <w:rsid w:val="0064335E"/>
    <w:rsid w:val="00643897"/>
    <w:rsid w:val="00644F8D"/>
    <w:rsid w:val="006452CC"/>
    <w:rsid w:val="006454CC"/>
    <w:rsid w:val="00646C01"/>
    <w:rsid w:val="00646FD7"/>
    <w:rsid w:val="00650964"/>
    <w:rsid w:val="00652295"/>
    <w:rsid w:val="00652C80"/>
    <w:rsid w:val="00653117"/>
    <w:rsid w:val="00653370"/>
    <w:rsid w:val="00653730"/>
    <w:rsid w:val="00653D4A"/>
    <w:rsid w:val="00653FCB"/>
    <w:rsid w:val="0065461C"/>
    <w:rsid w:val="006565DB"/>
    <w:rsid w:val="006601A1"/>
    <w:rsid w:val="00660BBC"/>
    <w:rsid w:val="00660D5C"/>
    <w:rsid w:val="0066185C"/>
    <w:rsid w:val="00661B50"/>
    <w:rsid w:val="00665DC3"/>
    <w:rsid w:val="00666CA3"/>
    <w:rsid w:val="0066718C"/>
    <w:rsid w:val="006707C0"/>
    <w:rsid w:val="006714DF"/>
    <w:rsid w:val="006717A0"/>
    <w:rsid w:val="006720F6"/>
    <w:rsid w:val="00673CF7"/>
    <w:rsid w:val="00674B72"/>
    <w:rsid w:val="006761EF"/>
    <w:rsid w:val="00676290"/>
    <w:rsid w:val="006763CE"/>
    <w:rsid w:val="0067644B"/>
    <w:rsid w:val="00676BDB"/>
    <w:rsid w:val="0067737F"/>
    <w:rsid w:val="006807A3"/>
    <w:rsid w:val="00680D2A"/>
    <w:rsid w:val="0068198F"/>
    <w:rsid w:val="00681F70"/>
    <w:rsid w:val="006839F4"/>
    <w:rsid w:val="00685310"/>
    <w:rsid w:val="00685CB4"/>
    <w:rsid w:val="00686610"/>
    <w:rsid w:val="006877FC"/>
    <w:rsid w:val="00687B98"/>
    <w:rsid w:val="00687BA6"/>
    <w:rsid w:val="00691D61"/>
    <w:rsid w:val="00692220"/>
    <w:rsid w:val="006922DF"/>
    <w:rsid w:val="00692D6F"/>
    <w:rsid w:val="00694478"/>
    <w:rsid w:val="006946CE"/>
    <w:rsid w:val="00694DDD"/>
    <w:rsid w:val="006A0288"/>
    <w:rsid w:val="006A05EB"/>
    <w:rsid w:val="006A22E3"/>
    <w:rsid w:val="006A2460"/>
    <w:rsid w:val="006A24F2"/>
    <w:rsid w:val="006A32FA"/>
    <w:rsid w:val="006A3D6A"/>
    <w:rsid w:val="006A69D6"/>
    <w:rsid w:val="006A719E"/>
    <w:rsid w:val="006A73E1"/>
    <w:rsid w:val="006B189A"/>
    <w:rsid w:val="006B1B8D"/>
    <w:rsid w:val="006B2449"/>
    <w:rsid w:val="006B25C2"/>
    <w:rsid w:val="006B2BC5"/>
    <w:rsid w:val="006B2CC6"/>
    <w:rsid w:val="006B2FA3"/>
    <w:rsid w:val="006B3ADE"/>
    <w:rsid w:val="006B3B93"/>
    <w:rsid w:val="006B4152"/>
    <w:rsid w:val="006B6044"/>
    <w:rsid w:val="006B6617"/>
    <w:rsid w:val="006B66DE"/>
    <w:rsid w:val="006B6BA1"/>
    <w:rsid w:val="006B7059"/>
    <w:rsid w:val="006B7813"/>
    <w:rsid w:val="006B785F"/>
    <w:rsid w:val="006B7E2E"/>
    <w:rsid w:val="006C056C"/>
    <w:rsid w:val="006C1378"/>
    <w:rsid w:val="006C1653"/>
    <w:rsid w:val="006C1AE9"/>
    <w:rsid w:val="006C1F2E"/>
    <w:rsid w:val="006C2D04"/>
    <w:rsid w:val="006C4570"/>
    <w:rsid w:val="006C60BD"/>
    <w:rsid w:val="006C611C"/>
    <w:rsid w:val="006C6511"/>
    <w:rsid w:val="006C7592"/>
    <w:rsid w:val="006D0203"/>
    <w:rsid w:val="006D020C"/>
    <w:rsid w:val="006D2BA9"/>
    <w:rsid w:val="006D3066"/>
    <w:rsid w:val="006D4C79"/>
    <w:rsid w:val="006D50DD"/>
    <w:rsid w:val="006D53E0"/>
    <w:rsid w:val="006D5BA5"/>
    <w:rsid w:val="006D6421"/>
    <w:rsid w:val="006E0BE7"/>
    <w:rsid w:val="006E2296"/>
    <w:rsid w:val="006E24BD"/>
    <w:rsid w:val="006E379B"/>
    <w:rsid w:val="006E48B2"/>
    <w:rsid w:val="006E54A1"/>
    <w:rsid w:val="006E55A9"/>
    <w:rsid w:val="006E6589"/>
    <w:rsid w:val="006E69F9"/>
    <w:rsid w:val="006E70DF"/>
    <w:rsid w:val="006E7367"/>
    <w:rsid w:val="006E743A"/>
    <w:rsid w:val="006E7877"/>
    <w:rsid w:val="006F0E03"/>
    <w:rsid w:val="006F25D4"/>
    <w:rsid w:val="006F28D9"/>
    <w:rsid w:val="006F2A53"/>
    <w:rsid w:val="006F2EB4"/>
    <w:rsid w:val="006F2F7A"/>
    <w:rsid w:val="006F2FFE"/>
    <w:rsid w:val="006F3228"/>
    <w:rsid w:val="006F386A"/>
    <w:rsid w:val="006F38F1"/>
    <w:rsid w:val="006F3DDF"/>
    <w:rsid w:val="006F4229"/>
    <w:rsid w:val="006F4C82"/>
    <w:rsid w:val="006F6205"/>
    <w:rsid w:val="006F674F"/>
    <w:rsid w:val="006F7346"/>
    <w:rsid w:val="0070124C"/>
    <w:rsid w:val="00701458"/>
    <w:rsid w:val="00702BC7"/>
    <w:rsid w:val="00703CE0"/>
    <w:rsid w:val="00703D1E"/>
    <w:rsid w:val="00704320"/>
    <w:rsid w:val="00704C87"/>
    <w:rsid w:val="007051FD"/>
    <w:rsid w:val="00705F8C"/>
    <w:rsid w:val="00706DF3"/>
    <w:rsid w:val="00710D0D"/>
    <w:rsid w:val="00711FE5"/>
    <w:rsid w:val="0071238A"/>
    <w:rsid w:val="0071290E"/>
    <w:rsid w:val="0071337E"/>
    <w:rsid w:val="00713B6C"/>
    <w:rsid w:val="00714698"/>
    <w:rsid w:val="00714A61"/>
    <w:rsid w:val="00714D9B"/>
    <w:rsid w:val="00714E0B"/>
    <w:rsid w:val="00714ED8"/>
    <w:rsid w:val="00715349"/>
    <w:rsid w:val="007160B8"/>
    <w:rsid w:val="00717B4B"/>
    <w:rsid w:val="00720121"/>
    <w:rsid w:val="00720815"/>
    <w:rsid w:val="00720841"/>
    <w:rsid w:val="00720A7B"/>
    <w:rsid w:val="00720A7F"/>
    <w:rsid w:val="00720FB6"/>
    <w:rsid w:val="00720FE3"/>
    <w:rsid w:val="007227A8"/>
    <w:rsid w:val="00722FB8"/>
    <w:rsid w:val="00723ED4"/>
    <w:rsid w:val="00723F29"/>
    <w:rsid w:val="0072427D"/>
    <w:rsid w:val="007245DB"/>
    <w:rsid w:val="00726013"/>
    <w:rsid w:val="00727186"/>
    <w:rsid w:val="00727D1D"/>
    <w:rsid w:val="00730122"/>
    <w:rsid w:val="0073095B"/>
    <w:rsid w:val="00730D2C"/>
    <w:rsid w:val="00733322"/>
    <w:rsid w:val="0073434B"/>
    <w:rsid w:val="00734CAE"/>
    <w:rsid w:val="00734D16"/>
    <w:rsid w:val="0073557F"/>
    <w:rsid w:val="00735888"/>
    <w:rsid w:val="00735EDC"/>
    <w:rsid w:val="0073707A"/>
    <w:rsid w:val="007409A9"/>
    <w:rsid w:val="00742109"/>
    <w:rsid w:val="00743894"/>
    <w:rsid w:val="00744CD0"/>
    <w:rsid w:val="00745E3A"/>
    <w:rsid w:val="007461D5"/>
    <w:rsid w:val="0074743E"/>
    <w:rsid w:val="00747AA9"/>
    <w:rsid w:val="007507D0"/>
    <w:rsid w:val="00751264"/>
    <w:rsid w:val="007531BE"/>
    <w:rsid w:val="007535ED"/>
    <w:rsid w:val="00753C52"/>
    <w:rsid w:val="00754142"/>
    <w:rsid w:val="00754A26"/>
    <w:rsid w:val="0075525D"/>
    <w:rsid w:val="0075539E"/>
    <w:rsid w:val="00756188"/>
    <w:rsid w:val="00757C9E"/>
    <w:rsid w:val="00760787"/>
    <w:rsid w:val="007610B8"/>
    <w:rsid w:val="007614C3"/>
    <w:rsid w:val="007629F9"/>
    <w:rsid w:val="00762B27"/>
    <w:rsid w:val="007631EB"/>
    <w:rsid w:val="00763E48"/>
    <w:rsid w:val="00764EB0"/>
    <w:rsid w:val="00765842"/>
    <w:rsid w:val="00765DF6"/>
    <w:rsid w:val="00766771"/>
    <w:rsid w:val="00766EB9"/>
    <w:rsid w:val="00767531"/>
    <w:rsid w:val="00770017"/>
    <w:rsid w:val="00770A22"/>
    <w:rsid w:val="00770AE9"/>
    <w:rsid w:val="007725D5"/>
    <w:rsid w:val="0077279B"/>
    <w:rsid w:val="0077281B"/>
    <w:rsid w:val="00772DFB"/>
    <w:rsid w:val="007732CA"/>
    <w:rsid w:val="00773C7F"/>
    <w:rsid w:val="00775526"/>
    <w:rsid w:val="007771EE"/>
    <w:rsid w:val="00777BCA"/>
    <w:rsid w:val="00782DEA"/>
    <w:rsid w:val="00783653"/>
    <w:rsid w:val="0078385F"/>
    <w:rsid w:val="007844BB"/>
    <w:rsid w:val="00784A8D"/>
    <w:rsid w:val="00784F79"/>
    <w:rsid w:val="0078567C"/>
    <w:rsid w:val="00786269"/>
    <w:rsid w:val="00786D43"/>
    <w:rsid w:val="00786D86"/>
    <w:rsid w:val="00787E2F"/>
    <w:rsid w:val="007910E0"/>
    <w:rsid w:val="00793E58"/>
    <w:rsid w:val="00794DAD"/>
    <w:rsid w:val="00795E7E"/>
    <w:rsid w:val="00796EB8"/>
    <w:rsid w:val="007A0E3C"/>
    <w:rsid w:val="007A1173"/>
    <w:rsid w:val="007A28C4"/>
    <w:rsid w:val="007A3583"/>
    <w:rsid w:val="007A3938"/>
    <w:rsid w:val="007A3A6B"/>
    <w:rsid w:val="007A3D70"/>
    <w:rsid w:val="007A3FED"/>
    <w:rsid w:val="007A4E78"/>
    <w:rsid w:val="007A61A5"/>
    <w:rsid w:val="007A64A7"/>
    <w:rsid w:val="007A72F5"/>
    <w:rsid w:val="007A7785"/>
    <w:rsid w:val="007B02EB"/>
    <w:rsid w:val="007B1B96"/>
    <w:rsid w:val="007B2FF3"/>
    <w:rsid w:val="007B3006"/>
    <w:rsid w:val="007B3B3E"/>
    <w:rsid w:val="007B4C4D"/>
    <w:rsid w:val="007B4F9B"/>
    <w:rsid w:val="007B635F"/>
    <w:rsid w:val="007B639E"/>
    <w:rsid w:val="007B76BD"/>
    <w:rsid w:val="007B7C52"/>
    <w:rsid w:val="007B7E4E"/>
    <w:rsid w:val="007C15DF"/>
    <w:rsid w:val="007C1D6D"/>
    <w:rsid w:val="007C1F12"/>
    <w:rsid w:val="007C2446"/>
    <w:rsid w:val="007C2C53"/>
    <w:rsid w:val="007C3B13"/>
    <w:rsid w:val="007C4593"/>
    <w:rsid w:val="007C4A09"/>
    <w:rsid w:val="007C630C"/>
    <w:rsid w:val="007C6FD0"/>
    <w:rsid w:val="007D09A6"/>
    <w:rsid w:val="007D1FBE"/>
    <w:rsid w:val="007D218C"/>
    <w:rsid w:val="007D2F02"/>
    <w:rsid w:val="007D351E"/>
    <w:rsid w:val="007D4EE4"/>
    <w:rsid w:val="007D5C86"/>
    <w:rsid w:val="007D7523"/>
    <w:rsid w:val="007D7C2D"/>
    <w:rsid w:val="007E08CA"/>
    <w:rsid w:val="007E1BDE"/>
    <w:rsid w:val="007E2E7B"/>
    <w:rsid w:val="007E2FFE"/>
    <w:rsid w:val="007E456D"/>
    <w:rsid w:val="007E4DA1"/>
    <w:rsid w:val="007E558E"/>
    <w:rsid w:val="007E5B53"/>
    <w:rsid w:val="007E5D64"/>
    <w:rsid w:val="007E5D72"/>
    <w:rsid w:val="007E6339"/>
    <w:rsid w:val="007E6E3A"/>
    <w:rsid w:val="007E7F77"/>
    <w:rsid w:val="007F0DA7"/>
    <w:rsid w:val="007F1AE8"/>
    <w:rsid w:val="007F2183"/>
    <w:rsid w:val="007F2B5B"/>
    <w:rsid w:val="007F42EA"/>
    <w:rsid w:val="007F4D67"/>
    <w:rsid w:val="007F5769"/>
    <w:rsid w:val="007F5DE0"/>
    <w:rsid w:val="007F7361"/>
    <w:rsid w:val="007F74CB"/>
    <w:rsid w:val="008009C4"/>
    <w:rsid w:val="00802699"/>
    <w:rsid w:val="00802BF4"/>
    <w:rsid w:val="008040DF"/>
    <w:rsid w:val="0080479E"/>
    <w:rsid w:val="00805900"/>
    <w:rsid w:val="00805B5D"/>
    <w:rsid w:val="00810DA8"/>
    <w:rsid w:val="00811732"/>
    <w:rsid w:val="00811742"/>
    <w:rsid w:val="0081179F"/>
    <w:rsid w:val="0081389C"/>
    <w:rsid w:val="00814ABA"/>
    <w:rsid w:val="00815A86"/>
    <w:rsid w:val="00820C57"/>
    <w:rsid w:val="00820E2C"/>
    <w:rsid w:val="00822588"/>
    <w:rsid w:val="0082313F"/>
    <w:rsid w:val="00823C71"/>
    <w:rsid w:val="00823FAC"/>
    <w:rsid w:val="00825F77"/>
    <w:rsid w:val="0082645C"/>
    <w:rsid w:val="008271AF"/>
    <w:rsid w:val="008303A8"/>
    <w:rsid w:val="00832C24"/>
    <w:rsid w:val="0083333C"/>
    <w:rsid w:val="008335AD"/>
    <w:rsid w:val="008335C4"/>
    <w:rsid w:val="00833DC2"/>
    <w:rsid w:val="008347A9"/>
    <w:rsid w:val="00835593"/>
    <w:rsid w:val="00836B7A"/>
    <w:rsid w:val="00837056"/>
    <w:rsid w:val="008371AC"/>
    <w:rsid w:val="008374A3"/>
    <w:rsid w:val="008422A3"/>
    <w:rsid w:val="00842A5E"/>
    <w:rsid w:val="008456A7"/>
    <w:rsid w:val="008459CA"/>
    <w:rsid w:val="00845B99"/>
    <w:rsid w:val="00846066"/>
    <w:rsid w:val="008471A6"/>
    <w:rsid w:val="00847C3F"/>
    <w:rsid w:val="008527ED"/>
    <w:rsid w:val="008535A3"/>
    <w:rsid w:val="00855E22"/>
    <w:rsid w:val="00855E3A"/>
    <w:rsid w:val="00855FA8"/>
    <w:rsid w:val="00856347"/>
    <w:rsid w:val="008564F3"/>
    <w:rsid w:val="00860361"/>
    <w:rsid w:val="00860FC7"/>
    <w:rsid w:val="008628C1"/>
    <w:rsid w:val="00862A15"/>
    <w:rsid w:val="00862FE0"/>
    <w:rsid w:val="00864326"/>
    <w:rsid w:val="00864EDC"/>
    <w:rsid w:val="00865313"/>
    <w:rsid w:val="0086588D"/>
    <w:rsid w:val="00865B65"/>
    <w:rsid w:val="008668E6"/>
    <w:rsid w:val="0086723F"/>
    <w:rsid w:val="00867867"/>
    <w:rsid w:val="00867E28"/>
    <w:rsid w:val="00870CF2"/>
    <w:rsid w:val="00872403"/>
    <w:rsid w:val="00873E0C"/>
    <w:rsid w:val="00875A74"/>
    <w:rsid w:val="00876249"/>
    <w:rsid w:val="00877399"/>
    <w:rsid w:val="008804BA"/>
    <w:rsid w:val="00880CDC"/>
    <w:rsid w:val="008811B4"/>
    <w:rsid w:val="008826FC"/>
    <w:rsid w:val="00882785"/>
    <w:rsid w:val="0088341E"/>
    <w:rsid w:val="00883DE4"/>
    <w:rsid w:val="0088620A"/>
    <w:rsid w:val="008869F7"/>
    <w:rsid w:val="00886DA0"/>
    <w:rsid w:val="00886EA0"/>
    <w:rsid w:val="0089069F"/>
    <w:rsid w:val="00891A6C"/>
    <w:rsid w:val="00891E77"/>
    <w:rsid w:val="00892959"/>
    <w:rsid w:val="00894407"/>
    <w:rsid w:val="00894C19"/>
    <w:rsid w:val="00894E46"/>
    <w:rsid w:val="008950FD"/>
    <w:rsid w:val="008954E8"/>
    <w:rsid w:val="00896DB8"/>
    <w:rsid w:val="00896E20"/>
    <w:rsid w:val="008A163F"/>
    <w:rsid w:val="008A1D76"/>
    <w:rsid w:val="008A4D82"/>
    <w:rsid w:val="008A5022"/>
    <w:rsid w:val="008A6905"/>
    <w:rsid w:val="008A70DA"/>
    <w:rsid w:val="008A72AC"/>
    <w:rsid w:val="008B0701"/>
    <w:rsid w:val="008B342C"/>
    <w:rsid w:val="008B35E9"/>
    <w:rsid w:val="008B4315"/>
    <w:rsid w:val="008B5A8B"/>
    <w:rsid w:val="008B6D3B"/>
    <w:rsid w:val="008B72E0"/>
    <w:rsid w:val="008C0890"/>
    <w:rsid w:val="008C0C56"/>
    <w:rsid w:val="008C4529"/>
    <w:rsid w:val="008C6555"/>
    <w:rsid w:val="008C72CD"/>
    <w:rsid w:val="008C789E"/>
    <w:rsid w:val="008D0496"/>
    <w:rsid w:val="008D075E"/>
    <w:rsid w:val="008D416A"/>
    <w:rsid w:val="008D4B71"/>
    <w:rsid w:val="008D52CE"/>
    <w:rsid w:val="008D6BDF"/>
    <w:rsid w:val="008E01F2"/>
    <w:rsid w:val="008E0302"/>
    <w:rsid w:val="008E03FC"/>
    <w:rsid w:val="008E0409"/>
    <w:rsid w:val="008E0825"/>
    <w:rsid w:val="008E0877"/>
    <w:rsid w:val="008E1081"/>
    <w:rsid w:val="008E1651"/>
    <w:rsid w:val="008E1745"/>
    <w:rsid w:val="008E319C"/>
    <w:rsid w:val="008E389A"/>
    <w:rsid w:val="008E5FEE"/>
    <w:rsid w:val="008E7332"/>
    <w:rsid w:val="008E7915"/>
    <w:rsid w:val="008E79AA"/>
    <w:rsid w:val="008E7B53"/>
    <w:rsid w:val="008F0C8C"/>
    <w:rsid w:val="008F16B8"/>
    <w:rsid w:val="008F2811"/>
    <w:rsid w:val="008F30D7"/>
    <w:rsid w:val="008F36B7"/>
    <w:rsid w:val="008F4B0E"/>
    <w:rsid w:val="008F4E4B"/>
    <w:rsid w:val="008F5691"/>
    <w:rsid w:val="008F58B2"/>
    <w:rsid w:val="008F6CF7"/>
    <w:rsid w:val="008F7763"/>
    <w:rsid w:val="008F7F4A"/>
    <w:rsid w:val="008F7F4B"/>
    <w:rsid w:val="009002AF"/>
    <w:rsid w:val="00902979"/>
    <w:rsid w:val="00902D51"/>
    <w:rsid w:val="00903E91"/>
    <w:rsid w:val="00904A17"/>
    <w:rsid w:val="00906223"/>
    <w:rsid w:val="0090661B"/>
    <w:rsid w:val="009068FE"/>
    <w:rsid w:val="0090705D"/>
    <w:rsid w:val="009100B5"/>
    <w:rsid w:val="0091107E"/>
    <w:rsid w:val="0091143F"/>
    <w:rsid w:val="009136F4"/>
    <w:rsid w:val="00913F83"/>
    <w:rsid w:val="00916191"/>
    <w:rsid w:val="00916AF2"/>
    <w:rsid w:val="00920532"/>
    <w:rsid w:val="009208A1"/>
    <w:rsid w:val="009209FB"/>
    <w:rsid w:val="00921503"/>
    <w:rsid w:val="00921C8F"/>
    <w:rsid w:val="00923AE5"/>
    <w:rsid w:val="00924B55"/>
    <w:rsid w:val="00924C3F"/>
    <w:rsid w:val="00924DD6"/>
    <w:rsid w:val="00927EC8"/>
    <w:rsid w:val="0093012F"/>
    <w:rsid w:val="009306CA"/>
    <w:rsid w:val="009315BC"/>
    <w:rsid w:val="009335C6"/>
    <w:rsid w:val="009341E2"/>
    <w:rsid w:val="00934A74"/>
    <w:rsid w:val="00935AC2"/>
    <w:rsid w:val="00935E70"/>
    <w:rsid w:val="00940D4A"/>
    <w:rsid w:val="009415E5"/>
    <w:rsid w:val="00941920"/>
    <w:rsid w:val="00941A8F"/>
    <w:rsid w:val="00942263"/>
    <w:rsid w:val="009431E7"/>
    <w:rsid w:val="00943F40"/>
    <w:rsid w:val="0094456D"/>
    <w:rsid w:val="0094533D"/>
    <w:rsid w:val="00945DD9"/>
    <w:rsid w:val="00945EA2"/>
    <w:rsid w:val="00946813"/>
    <w:rsid w:val="009514D1"/>
    <w:rsid w:val="00951857"/>
    <w:rsid w:val="00953D79"/>
    <w:rsid w:val="009553A6"/>
    <w:rsid w:val="00955ACF"/>
    <w:rsid w:val="00955D9C"/>
    <w:rsid w:val="009563BF"/>
    <w:rsid w:val="009601A5"/>
    <w:rsid w:val="0096120E"/>
    <w:rsid w:val="009618BD"/>
    <w:rsid w:val="00964012"/>
    <w:rsid w:val="0096532D"/>
    <w:rsid w:val="00965552"/>
    <w:rsid w:val="00965676"/>
    <w:rsid w:val="00965793"/>
    <w:rsid w:val="00965F97"/>
    <w:rsid w:val="00967256"/>
    <w:rsid w:val="009676BF"/>
    <w:rsid w:val="00970015"/>
    <w:rsid w:val="00970949"/>
    <w:rsid w:val="00971F6C"/>
    <w:rsid w:val="0097248E"/>
    <w:rsid w:val="0097261D"/>
    <w:rsid w:val="00972F5F"/>
    <w:rsid w:val="009736B2"/>
    <w:rsid w:val="0097440C"/>
    <w:rsid w:val="00974D91"/>
    <w:rsid w:val="009759BB"/>
    <w:rsid w:val="009770FC"/>
    <w:rsid w:val="009772FA"/>
    <w:rsid w:val="0098082C"/>
    <w:rsid w:val="009837A1"/>
    <w:rsid w:val="00985DF6"/>
    <w:rsid w:val="00986C22"/>
    <w:rsid w:val="009875C6"/>
    <w:rsid w:val="009879E0"/>
    <w:rsid w:val="00990187"/>
    <w:rsid w:val="00990456"/>
    <w:rsid w:val="00990531"/>
    <w:rsid w:val="00990623"/>
    <w:rsid w:val="009926C1"/>
    <w:rsid w:val="00992C2E"/>
    <w:rsid w:val="00992FAA"/>
    <w:rsid w:val="00993B6D"/>
    <w:rsid w:val="009943D3"/>
    <w:rsid w:val="0099482F"/>
    <w:rsid w:val="00995549"/>
    <w:rsid w:val="0099783B"/>
    <w:rsid w:val="009A02A4"/>
    <w:rsid w:val="009A3240"/>
    <w:rsid w:val="009A5227"/>
    <w:rsid w:val="009A5D37"/>
    <w:rsid w:val="009A5D78"/>
    <w:rsid w:val="009A7297"/>
    <w:rsid w:val="009A7D22"/>
    <w:rsid w:val="009A7FCA"/>
    <w:rsid w:val="009B0765"/>
    <w:rsid w:val="009B1319"/>
    <w:rsid w:val="009B1EAE"/>
    <w:rsid w:val="009B2826"/>
    <w:rsid w:val="009B2F94"/>
    <w:rsid w:val="009B4C08"/>
    <w:rsid w:val="009B6BE1"/>
    <w:rsid w:val="009B7A63"/>
    <w:rsid w:val="009B7B40"/>
    <w:rsid w:val="009B7D42"/>
    <w:rsid w:val="009C0301"/>
    <w:rsid w:val="009C064C"/>
    <w:rsid w:val="009C1048"/>
    <w:rsid w:val="009C2F1C"/>
    <w:rsid w:val="009C3DB2"/>
    <w:rsid w:val="009C408C"/>
    <w:rsid w:val="009C4536"/>
    <w:rsid w:val="009C4547"/>
    <w:rsid w:val="009C467A"/>
    <w:rsid w:val="009C4B6D"/>
    <w:rsid w:val="009C535E"/>
    <w:rsid w:val="009C5548"/>
    <w:rsid w:val="009C5DFB"/>
    <w:rsid w:val="009C60DC"/>
    <w:rsid w:val="009C6A61"/>
    <w:rsid w:val="009C6AEE"/>
    <w:rsid w:val="009C6B19"/>
    <w:rsid w:val="009C7278"/>
    <w:rsid w:val="009C7365"/>
    <w:rsid w:val="009D0356"/>
    <w:rsid w:val="009D2149"/>
    <w:rsid w:val="009D241E"/>
    <w:rsid w:val="009D273D"/>
    <w:rsid w:val="009D2CDD"/>
    <w:rsid w:val="009D3ADE"/>
    <w:rsid w:val="009D5ABE"/>
    <w:rsid w:val="009D5FBE"/>
    <w:rsid w:val="009D6C34"/>
    <w:rsid w:val="009D6F73"/>
    <w:rsid w:val="009D72C9"/>
    <w:rsid w:val="009E0E2C"/>
    <w:rsid w:val="009E0FA7"/>
    <w:rsid w:val="009E15E9"/>
    <w:rsid w:val="009E3807"/>
    <w:rsid w:val="009E69D3"/>
    <w:rsid w:val="009E78B5"/>
    <w:rsid w:val="009E7E05"/>
    <w:rsid w:val="009E7F8C"/>
    <w:rsid w:val="009F107B"/>
    <w:rsid w:val="009F10AE"/>
    <w:rsid w:val="009F161E"/>
    <w:rsid w:val="009F2B3D"/>
    <w:rsid w:val="009F33A7"/>
    <w:rsid w:val="009F35B9"/>
    <w:rsid w:val="009F4372"/>
    <w:rsid w:val="009F52E0"/>
    <w:rsid w:val="009F5A73"/>
    <w:rsid w:val="009F5C79"/>
    <w:rsid w:val="009F6EBA"/>
    <w:rsid w:val="009F71F3"/>
    <w:rsid w:val="009F776D"/>
    <w:rsid w:val="009F7BCB"/>
    <w:rsid w:val="00A008C6"/>
    <w:rsid w:val="00A01428"/>
    <w:rsid w:val="00A0169B"/>
    <w:rsid w:val="00A01FDF"/>
    <w:rsid w:val="00A0340F"/>
    <w:rsid w:val="00A034B4"/>
    <w:rsid w:val="00A03965"/>
    <w:rsid w:val="00A051A4"/>
    <w:rsid w:val="00A07FA5"/>
    <w:rsid w:val="00A1039A"/>
    <w:rsid w:val="00A1069C"/>
    <w:rsid w:val="00A10E1E"/>
    <w:rsid w:val="00A10FDA"/>
    <w:rsid w:val="00A116A8"/>
    <w:rsid w:val="00A11924"/>
    <w:rsid w:val="00A11E65"/>
    <w:rsid w:val="00A12C86"/>
    <w:rsid w:val="00A13B77"/>
    <w:rsid w:val="00A15A37"/>
    <w:rsid w:val="00A16042"/>
    <w:rsid w:val="00A2104B"/>
    <w:rsid w:val="00A217FA"/>
    <w:rsid w:val="00A22BCD"/>
    <w:rsid w:val="00A23153"/>
    <w:rsid w:val="00A23A4B"/>
    <w:rsid w:val="00A2568E"/>
    <w:rsid w:val="00A25BC3"/>
    <w:rsid w:val="00A25D5A"/>
    <w:rsid w:val="00A26184"/>
    <w:rsid w:val="00A264E7"/>
    <w:rsid w:val="00A27067"/>
    <w:rsid w:val="00A27461"/>
    <w:rsid w:val="00A27898"/>
    <w:rsid w:val="00A27A7A"/>
    <w:rsid w:val="00A27FF2"/>
    <w:rsid w:val="00A307E8"/>
    <w:rsid w:val="00A312E4"/>
    <w:rsid w:val="00A31866"/>
    <w:rsid w:val="00A32DED"/>
    <w:rsid w:val="00A331BE"/>
    <w:rsid w:val="00A34094"/>
    <w:rsid w:val="00A37C84"/>
    <w:rsid w:val="00A405E2"/>
    <w:rsid w:val="00A41CFF"/>
    <w:rsid w:val="00A42739"/>
    <w:rsid w:val="00A4393D"/>
    <w:rsid w:val="00A43A06"/>
    <w:rsid w:val="00A44B78"/>
    <w:rsid w:val="00A44C17"/>
    <w:rsid w:val="00A451BD"/>
    <w:rsid w:val="00A45749"/>
    <w:rsid w:val="00A4610B"/>
    <w:rsid w:val="00A46D3E"/>
    <w:rsid w:val="00A4770C"/>
    <w:rsid w:val="00A47728"/>
    <w:rsid w:val="00A50FD4"/>
    <w:rsid w:val="00A53E0B"/>
    <w:rsid w:val="00A55C45"/>
    <w:rsid w:val="00A564BA"/>
    <w:rsid w:val="00A5674D"/>
    <w:rsid w:val="00A5741E"/>
    <w:rsid w:val="00A60147"/>
    <w:rsid w:val="00A61167"/>
    <w:rsid w:val="00A61981"/>
    <w:rsid w:val="00A63E24"/>
    <w:rsid w:val="00A65187"/>
    <w:rsid w:val="00A6754F"/>
    <w:rsid w:val="00A67890"/>
    <w:rsid w:val="00A67CA7"/>
    <w:rsid w:val="00A70B61"/>
    <w:rsid w:val="00A70BD1"/>
    <w:rsid w:val="00A70C6E"/>
    <w:rsid w:val="00A717E5"/>
    <w:rsid w:val="00A74CCC"/>
    <w:rsid w:val="00A75012"/>
    <w:rsid w:val="00A75587"/>
    <w:rsid w:val="00A75D31"/>
    <w:rsid w:val="00A76694"/>
    <w:rsid w:val="00A76A24"/>
    <w:rsid w:val="00A77EF2"/>
    <w:rsid w:val="00A802DE"/>
    <w:rsid w:val="00A80CBB"/>
    <w:rsid w:val="00A81838"/>
    <w:rsid w:val="00A81CCA"/>
    <w:rsid w:val="00A81F27"/>
    <w:rsid w:val="00A82947"/>
    <w:rsid w:val="00A83619"/>
    <w:rsid w:val="00A83902"/>
    <w:rsid w:val="00A83B89"/>
    <w:rsid w:val="00A83E34"/>
    <w:rsid w:val="00A841AD"/>
    <w:rsid w:val="00A84E0B"/>
    <w:rsid w:val="00A856C5"/>
    <w:rsid w:val="00A86617"/>
    <w:rsid w:val="00A876A9"/>
    <w:rsid w:val="00A87740"/>
    <w:rsid w:val="00A90786"/>
    <w:rsid w:val="00A907C5"/>
    <w:rsid w:val="00A93553"/>
    <w:rsid w:val="00A95310"/>
    <w:rsid w:val="00A95FC8"/>
    <w:rsid w:val="00A962DD"/>
    <w:rsid w:val="00A96667"/>
    <w:rsid w:val="00A96EC6"/>
    <w:rsid w:val="00A96FB7"/>
    <w:rsid w:val="00A97E03"/>
    <w:rsid w:val="00AA1BFA"/>
    <w:rsid w:val="00AA1E07"/>
    <w:rsid w:val="00AA2800"/>
    <w:rsid w:val="00AA3290"/>
    <w:rsid w:val="00AA483F"/>
    <w:rsid w:val="00AA52B6"/>
    <w:rsid w:val="00AA52DC"/>
    <w:rsid w:val="00AA5B46"/>
    <w:rsid w:val="00AA6392"/>
    <w:rsid w:val="00AA6444"/>
    <w:rsid w:val="00AA7073"/>
    <w:rsid w:val="00AA7083"/>
    <w:rsid w:val="00AA727F"/>
    <w:rsid w:val="00AA7545"/>
    <w:rsid w:val="00AB0F79"/>
    <w:rsid w:val="00AB2F98"/>
    <w:rsid w:val="00AB3E07"/>
    <w:rsid w:val="00AB451E"/>
    <w:rsid w:val="00AB5269"/>
    <w:rsid w:val="00AB5778"/>
    <w:rsid w:val="00AB6533"/>
    <w:rsid w:val="00AB7CAA"/>
    <w:rsid w:val="00AC0FFA"/>
    <w:rsid w:val="00AC145B"/>
    <w:rsid w:val="00AC228B"/>
    <w:rsid w:val="00AC25B8"/>
    <w:rsid w:val="00AC29B5"/>
    <w:rsid w:val="00AC3A55"/>
    <w:rsid w:val="00AC3AAB"/>
    <w:rsid w:val="00AC6295"/>
    <w:rsid w:val="00AC6B96"/>
    <w:rsid w:val="00AC744D"/>
    <w:rsid w:val="00AD01B5"/>
    <w:rsid w:val="00AD0B5A"/>
    <w:rsid w:val="00AD0EB7"/>
    <w:rsid w:val="00AD1281"/>
    <w:rsid w:val="00AD140E"/>
    <w:rsid w:val="00AD1B7A"/>
    <w:rsid w:val="00AD1FE5"/>
    <w:rsid w:val="00AD3195"/>
    <w:rsid w:val="00AD3A01"/>
    <w:rsid w:val="00AD4316"/>
    <w:rsid w:val="00AD4894"/>
    <w:rsid w:val="00AD53BA"/>
    <w:rsid w:val="00AD5477"/>
    <w:rsid w:val="00AD5DA4"/>
    <w:rsid w:val="00AD5DBD"/>
    <w:rsid w:val="00AD7FCF"/>
    <w:rsid w:val="00AE0EC1"/>
    <w:rsid w:val="00AE111B"/>
    <w:rsid w:val="00AE16C2"/>
    <w:rsid w:val="00AE25E5"/>
    <w:rsid w:val="00AE314A"/>
    <w:rsid w:val="00AE43A4"/>
    <w:rsid w:val="00AE5973"/>
    <w:rsid w:val="00AE752D"/>
    <w:rsid w:val="00AE774E"/>
    <w:rsid w:val="00AE786F"/>
    <w:rsid w:val="00AE7A4D"/>
    <w:rsid w:val="00AF2BBA"/>
    <w:rsid w:val="00AF2F5F"/>
    <w:rsid w:val="00AF4458"/>
    <w:rsid w:val="00AF4BD6"/>
    <w:rsid w:val="00AF6CEC"/>
    <w:rsid w:val="00AF7187"/>
    <w:rsid w:val="00AF7E38"/>
    <w:rsid w:val="00B0032E"/>
    <w:rsid w:val="00B003DB"/>
    <w:rsid w:val="00B00B53"/>
    <w:rsid w:val="00B00EDA"/>
    <w:rsid w:val="00B016E6"/>
    <w:rsid w:val="00B0280E"/>
    <w:rsid w:val="00B041B9"/>
    <w:rsid w:val="00B0515B"/>
    <w:rsid w:val="00B053D3"/>
    <w:rsid w:val="00B07E2F"/>
    <w:rsid w:val="00B10177"/>
    <w:rsid w:val="00B120FD"/>
    <w:rsid w:val="00B1301B"/>
    <w:rsid w:val="00B138E0"/>
    <w:rsid w:val="00B14700"/>
    <w:rsid w:val="00B15741"/>
    <w:rsid w:val="00B16817"/>
    <w:rsid w:val="00B16E87"/>
    <w:rsid w:val="00B215D8"/>
    <w:rsid w:val="00B21EBE"/>
    <w:rsid w:val="00B23054"/>
    <w:rsid w:val="00B232A6"/>
    <w:rsid w:val="00B23EFB"/>
    <w:rsid w:val="00B249A1"/>
    <w:rsid w:val="00B25223"/>
    <w:rsid w:val="00B25648"/>
    <w:rsid w:val="00B25C88"/>
    <w:rsid w:val="00B25FCE"/>
    <w:rsid w:val="00B261D5"/>
    <w:rsid w:val="00B264C2"/>
    <w:rsid w:val="00B2689A"/>
    <w:rsid w:val="00B26EDB"/>
    <w:rsid w:val="00B27A1C"/>
    <w:rsid w:val="00B31260"/>
    <w:rsid w:val="00B31FEC"/>
    <w:rsid w:val="00B325AC"/>
    <w:rsid w:val="00B32667"/>
    <w:rsid w:val="00B33625"/>
    <w:rsid w:val="00B35F51"/>
    <w:rsid w:val="00B36285"/>
    <w:rsid w:val="00B363E4"/>
    <w:rsid w:val="00B37061"/>
    <w:rsid w:val="00B371F3"/>
    <w:rsid w:val="00B37EF0"/>
    <w:rsid w:val="00B42E17"/>
    <w:rsid w:val="00B43478"/>
    <w:rsid w:val="00B44105"/>
    <w:rsid w:val="00B44317"/>
    <w:rsid w:val="00B44B64"/>
    <w:rsid w:val="00B460E0"/>
    <w:rsid w:val="00B46A64"/>
    <w:rsid w:val="00B479F0"/>
    <w:rsid w:val="00B50998"/>
    <w:rsid w:val="00B51645"/>
    <w:rsid w:val="00B521E1"/>
    <w:rsid w:val="00B53358"/>
    <w:rsid w:val="00B5453D"/>
    <w:rsid w:val="00B60052"/>
    <w:rsid w:val="00B6007D"/>
    <w:rsid w:val="00B625D7"/>
    <w:rsid w:val="00B63B12"/>
    <w:rsid w:val="00B64CAA"/>
    <w:rsid w:val="00B67319"/>
    <w:rsid w:val="00B67AB0"/>
    <w:rsid w:val="00B70647"/>
    <w:rsid w:val="00B71889"/>
    <w:rsid w:val="00B72069"/>
    <w:rsid w:val="00B72092"/>
    <w:rsid w:val="00B72B9F"/>
    <w:rsid w:val="00B734C2"/>
    <w:rsid w:val="00B73C32"/>
    <w:rsid w:val="00B74E21"/>
    <w:rsid w:val="00B754FD"/>
    <w:rsid w:val="00B75998"/>
    <w:rsid w:val="00B7777F"/>
    <w:rsid w:val="00B81B01"/>
    <w:rsid w:val="00B82075"/>
    <w:rsid w:val="00B831A2"/>
    <w:rsid w:val="00B84270"/>
    <w:rsid w:val="00B85871"/>
    <w:rsid w:val="00B862C2"/>
    <w:rsid w:val="00B91F05"/>
    <w:rsid w:val="00B92D48"/>
    <w:rsid w:val="00B93269"/>
    <w:rsid w:val="00B93F36"/>
    <w:rsid w:val="00B944B0"/>
    <w:rsid w:val="00B97551"/>
    <w:rsid w:val="00B97778"/>
    <w:rsid w:val="00B97CDF"/>
    <w:rsid w:val="00BA0370"/>
    <w:rsid w:val="00BA13EC"/>
    <w:rsid w:val="00BA1A3C"/>
    <w:rsid w:val="00BA1F51"/>
    <w:rsid w:val="00BA3A29"/>
    <w:rsid w:val="00BA4978"/>
    <w:rsid w:val="00BA51BD"/>
    <w:rsid w:val="00BA6CD0"/>
    <w:rsid w:val="00BA6D63"/>
    <w:rsid w:val="00BA6FBB"/>
    <w:rsid w:val="00BA7501"/>
    <w:rsid w:val="00BB0848"/>
    <w:rsid w:val="00BB17E9"/>
    <w:rsid w:val="00BB247E"/>
    <w:rsid w:val="00BB26EC"/>
    <w:rsid w:val="00BB4017"/>
    <w:rsid w:val="00BB52BD"/>
    <w:rsid w:val="00BB6F68"/>
    <w:rsid w:val="00BB708C"/>
    <w:rsid w:val="00BC0207"/>
    <w:rsid w:val="00BC03B8"/>
    <w:rsid w:val="00BC0554"/>
    <w:rsid w:val="00BC0C08"/>
    <w:rsid w:val="00BC1EC4"/>
    <w:rsid w:val="00BC296E"/>
    <w:rsid w:val="00BC2A72"/>
    <w:rsid w:val="00BC3B15"/>
    <w:rsid w:val="00BC4EC0"/>
    <w:rsid w:val="00BC51B0"/>
    <w:rsid w:val="00BC55AF"/>
    <w:rsid w:val="00BC649E"/>
    <w:rsid w:val="00BC7528"/>
    <w:rsid w:val="00BC7974"/>
    <w:rsid w:val="00BD0096"/>
    <w:rsid w:val="00BD4990"/>
    <w:rsid w:val="00BD5DEB"/>
    <w:rsid w:val="00BD6A0F"/>
    <w:rsid w:val="00BE03F7"/>
    <w:rsid w:val="00BE0727"/>
    <w:rsid w:val="00BE11EA"/>
    <w:rsid w:val="00BE4B92"/>
    <w:rsid w:val="00BE5C17"/>
    <w:rsid w:val="00BE5FF5"/>
    <w:rsid w:val="00BE6A1E"/>
    <w:rsid w:val="00BE6BC6"/>
    <w:rsid w:val="00BE6C30"/>
    <w:rsid w:val="00BE6E08"/>
    <w:rsid w:val="00BE7142"/>
    <w:rsid w:val="00BF0063"/>
    <w:rsid w:val="00BF092E"/>
    <w:rsid w:val="00BF1664"/>
    <w:rsid w:val="00BF19A2"/>
    <w:rsid w:val="00BF1CF0"/>
    <w:rsid w:val="00BF5D22"/>
    <w:rsid w:val="00BF6BAC"/>
    <w:rsid w:val="00BF74BD"/>
    <w:rsid w:val="00BF7503"/>
    <w:rsid w:val="00BF7EC0"/>
    <w:rsid w:val="00C0252D"/>
    <w:rsid w:val="00C02750"/>
    <w:rsid w:val="00C0399C"/>
    <w:rsid w:val="00C045A2"/>
    <w:rsid w:val="00C04EC2"/>
    <w:rsid w:val="00C05805"/>
    <w:rsid w:val="00C06208"/>
    <w:rsid w:val="00C065EB"/>
    <w:rsid w:val="00C067E8"/>
    <w:rsid w:val="00C0685E"/>
    <w:rsid w:val="00C07324"/>
    <w:rsid w:val="00C13412"/>
    <w:rsid w:val="00C138A6"/>
    <w:rsid w:val="00C142B5"/>
    <w:rsid w:val="00C148C6"/>
    <w:rsid w:val="00C1652F"/>
    <w:rsid w:val="00C1763F"/>
    <w:rsid w:val="00C17683"/>
    <w:rsid w:val="00C17CB1"/>
    <w:rsid w:val="00C214F7"/>
    <w:rsid w:val="00C2254B"/>
    <w:rsid w:val="00C231B9"/>
    <w:rsid w:val="00C2338D"/>
    <w:rsid w:val="00C23797"/>
    <w:rsid w:val="00C25AE9"/>
    <w:rsid w:val="00C27A55"/>
    <w:rsid w:val="00C30A5D"/>
    <w:rsid w:val="00C30F68"/>
    <w:rsid w:val="00C31982"/>
    <w:rsid w:val="00C31B4A"/>
    <w:rsid w:val="00C32470"/>
    <w:rsid w:val="00C32B30"/>
    <w:rsid w:val="00C32D3B"/>
    <w:rsid w:val="00C33119"/>
    <w:rsid w:val="00C34890"/>
    <w:rsid w:val="00C37B35"/>
    <w:rsid w:val="00C4040C"/>
    <w:rsid w:val="00C40F16"/>
    <w:rsid w:val="00C40F96"/>
    <w:rsid w:val="00C42618"/>
    <w:rsid w:val="00C427DC"/>
    <w:rsid w:val="00C42C49"/>
    <w:rsid w:val="00C44DF0"/>
    <w:rsid w:val="00C4574F"/>
    <w:rsid w:val="00C45D4E"/>
    <w:rsid w:val="00C45FC9"/>
    <w:rsid w:val="00C46DBE"/>
    <w:rsid w:val="00C47BC8"/>
    <w:rsid w:val="00C500CD"/>
    <w:rsid w:val="00C50273"/>
    <w:rsid w:val="00C504CA"/>
    <w:rsid w:val="00C50963"/>
    <w:rsid w:val="00C52A85"/>
    <w:rsid w:val="00C53FB6"/>
    <w:rsid w:val="00C54409"/>
    <w:rsid w:val="00C546E2"/>
    <w:rsid w:val="00C560A5"/>
    <w:rsid w:val="00C565E3"/>
    <w:rsid w:val="00C57195"/>
    <w:rsid w:val="00C5759B"/>
    <w:rsid w:val="00C57F54"/>
    <w:rsid w:val="00C602E8"/>
    <w:rsid w:val="00C62D1E"/>
    <w:rsid w:val="00C64654"/>
    <w:rsid w:val="00C65327"/>
    <w:rsid w:val="00C65E5C"/>
    <w:rsid w:val="00C70077"/>
    <w:rsid w:val="00C700C9"/>
    <w:rsid w:val="00C70824"/>
    <w:rsid w:val="00C710E4"/>
    <w:rsid w:val="00C7199A"/>
    <w:rsid w:val="00C7220A"/>
    <w:rsid w:val="00C730E1"/>
    <w:rsid w:val="00C73418"/>
    <w:rsid w:val="00C7456D"/>
    <w:rsid w:val="00C75D69"/>
    <w:rsid w:val="00C76B27"/>
    <w:rsid w:val="00C77F97"/>
    <w:rsid w:val="00C807B6"/>
    <w:rsid w:val="00C80D0D"/>
    <w:rsid w:val="00C819BC"/>
    <w:rsid w:val="00C8319D"/>
    <w:rsid w:val="00C83351"/>
    <w:rsid w:val="00C83B49"/>
    <w:rsid w:val="00C8465C"/>
    <w:rsid w:val="00C848A2"/>
    <w:rsid w:val="00C84C65"/>
    <w:rsid w:val="00C85825"/>
    <w:rsid w:val="00C8699D"/>
    <w:rsid w:val="00C9056D"/>
    <w:rsid w:val="00C90B3A"/>
    <w:rsid w:val="00C912AA"/>
    <w:rsid w:val="00C93350"/>
    <w:rsid w:val="00C937FE"/>
    <w:rsid w:val="00C93C2D"/>
    <w:rsid w:val="00C941B3"/>
    <w:rsid w:val="00C95853"/>
    <w:rsid w:val="00C96E7E"/>
    <w:rsid w:val="00C97704"/>
    <w:rsid w:val="00C9772B"/>
    <w:rsid w:val="00C97EC5"/>
    <w:rsid w:val="00CA075F"/>
    <w:rsid w:val="00CA0CED"/>
    <w:rsid w:val="00CA16C6"/>
    <w:rsid w:val="00CA489C"/>
    <w:rsid w:val="00CA5690"/>
    <w:rsid w:val="00CA6269"/>
    <w:rsid w:val="00CA66F6"/>
    <w:rsid w:val="00CA6FB2"/>
    <w:rsid w:val="00CA7B53"/>
    <w:rsid w:val="00CB2A4B"/>
    <w:rsid w:val="00CB323F"/>
    <w:rsid w:val="00CB40F3"/>
    <w:rsid w:val="00CB5A65"/>
    <w:rsid w:val="00CB5F5D"/>
    <w:rsid w:val="00CB6524"/>
    <w:rsid w:val="00CB679A"/>
    <w:rsid w:val="00CB7D7C"/>
    <w:rsid w:val="00CC0CDA"/>
    <w:rsid w:val="00CC10F4"/>
    <w:rsid w:val="00CC1444"/>
    <w:rsid w:val="00CC2408"/>
    <w:rsid w:val="00CC6143"/>
    <w:rsid w:val="00CC625B"/>
    <w:rsid w:val="00CC6D04"/>
    <w:rsid w:val="00CC7BC5"/>
    <w:rsid w:val="00CC7CAA"/>
    <w:rsid w:val="00CD160F"/>
    <w:rsid w:val="00CD1775"/>
    <w:rsid w:val="00CD3779"/>
    <w:rsid w:val="00CD38A5"/>
    <w:rsid w:val="00CD5A43"/>
    <w:rsid w:val="00CD75E3"/>
    <w:rsid w:val="00CD7D45"/>
    <w:rsid w:val="00CE00FE"/>
    <w:rsid w:val="00CE1811"/>
    <w:rsid w:val="00CE1AAD"/>
    <w:rsid w:val="00CE2639"/>
    <w:rsid w:val="00CE2FBB"/>
    <w:rsid w:val="00CE78B9"/>
    <w:rsid w:val="00CF0342"/>
    <w:rsid w:val="00CF064E"/>
    <w:rsid w:val="00CF0B28"/>
    <w:rsid w:val="00CF1551"/>
    <w:rsid w:val="00CF1BC2"/>
    <w:rsid w:val="00CF217A"/>
    <w:rsid w:val="00CF4878"/>
    <w:rsid w:val="00CF559F"/>
    <w:rsid w:val="00CF57E6"/>
    <w:rsid w:val="00CF6226"/>
    <w:rsid w:val="00CF6421"/>
    <w:rsid w:val="00CF7066"/>
    <w:rsid w:val="00CF75EC"/>
    <w:rsid w:val="00D007E0"/>
    <w:rsid w:val="00D00BAB"/>
    <w:rsid w:val="00D011BA"/>
    <w:rsid w:val="00D023EE"/>
    <w:rsid w:val="00D046F6"/>
    <w:rsid w:val="00D06B1B"/>
    <w:rsid w:val="00D07A49"/>
    <w:rsid w:val="00D07CD5"/>
    <w:rsid w:val="00D10225"/>
    <w:rsid w:val="00D111DE"/>
    <w:rsid w:val="00D12751"/>
    <w:rsid w:val="00D12937"/>
    <w:rsid w:val="00D133C8"/>
    <w:rsid w:val="00D140D5"/>
    <w:rsid w:val="00D14470"/>
    <w:rsid w:val="00D16D70"/>
    <w:rsid w:val="00D17554"/>
    <w:rsid w:val="00D178FA"/>
    <w:rsid w:val="00D23ABA"/>
    <w:rsid w:val="00D254C6"/>
    <w:rsid w:val="00D27404"/>
    <w:rsid w:val="00D276DA"/>
    <w:rsid w:val="00D301F4"/>
    <w:rsid w:val="00D30645"/>
    <w:rsid w:val="00D3117F"/>
    <w:rsid w:val="00D31EEF"/>
    <w:rsid w:val="00D3233D"/>
    <w:rsid w:val="00D3330C"/>
    <w:rsid w:val="00D33549"/>
    <w:rsid w:val="00D35FEC"/>
    <w:rsid w:val="00D375F4"/>
    <w:rsid w:val="00D40D02"/>
    <w:rsid w:val="00D423E1"/>
    <w:rsid w:val="00D42519"/>
    <w:rsid w:val="00D4258E"/>
    <w:rsid w:val="00D42A3D"/>
    <w:rsid w:val="00D43932"/>
    <w:rsid w:val="00D443BA"/>
    <w:rsid w:val="00D446B7"/>
    <w:rsid w:val="00D45C8D"/>
    <w:rsid w:val="00D460DD"/>
    <w:rsid w:val="00D468E7"/>
    <w:rsid w:val="00D46C60"/>
    <w:rsid w:val="00D46CE1"/>
    <w:rsid w:val="00D47EBD"/>
    <w:rsid w:val="00D5021A"/>
    <w:rsid w:val="00D502D6"/>
    <w:rsid w:val="00D50A49"/>
    <w:rsid w:val="00D52944"/>
    <w:rsid w:val="00D52D70"/>
    <w:rsid w:val="00D53D77"/>
    <w:rsid w:val="00D5481E"/>
    <w:rsid w:val="00D54A49"/>
    <w:rsid w:val="00D56E15"/>
    <w:rsid w:val="00D56F63"/>
    <w:rsid w:val="00D6002B"/>
    <w:rsid w:val="00D60361"/>
    <w:rsid w:val="00D63580"/>
    <w:rsid w:val="00D641A4"/>
    <w:rsid w:val="00D644AD"/>
    <w:rsid w:val="00D66E14"/>
    <w:rsid w:val="00D675C3"/>
    <w:rsid w:val="00D718D7"/>
    <w:rsid w:val="00D7263E"/>
    <w:rsid w:val="00D72837"/>
    <w:rsid w:val="00D72CCC"/>
    <w:rsid w:val="00D72F91"/>
    <w:rsid w:val="00D74438"/>
    <w:rsid w:val="00D80B49"/>
    <w:rsid w:val="00D80B69"/>
    <w:rsid w:val="00D82DA1"/>
    <w:rsid w:val="00D83A22"/>
    <w:rsid w:val="00D83E13"/>
    <w:rsid w:val="00D847FD"/>
    <w:rsid w:val="00D85228"/>
    <w:rsid w:val="00D85289"/>
    <w:rsid w:val="00D86534"/>
    <w:rsid w:val="00D8657D"/>
    <w:rsid w:val="00D90237"/>
    <w:rsid w:val="00D91B35"/>
    <w:rsid w:val="00D92280"/>
    <w:rsid w:val="00D92FE3"/>
    <w:rsid w:val="00D934F7"/>
    <w:rsid w:val="00D93B42"/>
    <w:rsid w:val="00D94463"/>
    <w:rsid w:val="00D94FBD"/>
    <w:rsid w:val="00D95D51"/>
    <w:rsid w:val="00D96390"/>
    <w:rsid w:val="00D96D3F"/>
    <w:rsid w:val="00D96D8B"/>
    <w:rsid w:val="00D97EDC"/>
    <w:rsid w:val="00DA06C9"/>
    <w:rsid w:val="00DA1203"/>
    <w:rsid w:val="00DA2143"/>
    <w:rsid w:val="00DA2559"/>
    <w:rsid w:val="00DA33F5"/>
    <w:rsid w:val="00DA34CC"/>
    <w:rsid w:val="00DA5D93"/>
    <w:rsid w:val="00DA68C2"/>
    <w:rsid w:val="00DA6B2F"/>
    <w:rsid w:val="00DB0758"/>
    <w:rsid w:val="00DB1C4E"/>
    <w:rsid w:val="00DB20F8"/>
    <w:rsid w:val="00DB3106"/>
    <w:rsid w:val="00DB3EC5"/>
    <w:rsid w:val="00DB421C"/>
    <w:rsid w:val="00DB4D7B"/>
    <w:rsid w:val="00DB59D2"/>
    <w:rsid w:val="00DB7E5E"/>
    <w:rsid w:val="00DC1AFF"/>
    <w:rsid w:val="00DC2797"/>
    <w:rsid w:val="00DC3860"/>
    <w:rsid w:val="00DC3CC1"/>
    <w:rsid w:val="00DC50BF"/>
    <w:rsid w:val="00DC6759"/>
    <w:rsid w:val="00DC7207"/>
    <w:rsid w:val="00DC7425"/>
    <w:rsid w:val="00DD0EB2"/>
    <w:rsid w:val="00DD1C95"/>
    <w:rsid w:val="00DD2C62"/>
    <w:rsid w:val="00DD5032"/>
    <w:rsid w:val="00DD52C9"/>
    <w:rsid w:val="00DD692A"/>
    <w:rsid w:val="00DD75A2"/>
    <w:rsid w:val="00DE0A9E"/>
    <w:rsid w:val="00DE1A69"/>
    <w:rsid w:val="00DE1CE8"/>
    <w:rsid w:val="00DE3398"/>
    <w:rsid w:val="00DE4A93"/>
    <w:rsid w:val="00DE4AE9"/>
    <w:rsid w:val="00DE4FB0"/>
    <w:rsid w:val="00DE5E0D"/>
    <w:rsid w:val="00DE646A"/>
    <w:rsid w:val="00DF056D"/>
    <w:rsid w:val="00DF2581"/>
    <w:rsid w:val="00DF32CA"/>
    <w:rsid w:val="00DF32F7"/>
    <w:rsid w:val="00DF49BD"/>
    <w:rsid w:val="00DF653F"/>
    <w:rsid w:val="00DF6630"/>
    <w:rsid w:val="00E00263"/>
    <w:rsid w:val="00E00704"/>
    <w:rsid w:val="00E014AB"/>
    <w:rsid w:val="00E024F2"/>
    <w:rsid w:val="00E02D0C"/>
    <w:rsid w:val="00E03A6B"/>
    <w:rsid w:val="00E04894"/>
    <w:rsid w:val="00E0546B"/>
    <w:rsid w:val="00E0735B"/>
    <w:rsid w:val="00E107B8"/>
    <w:rsid w:val="00E11323"/>
    <w:rsid w:val="00E1184E"/>
    <w:rsid w:val="00E11F1D"/>
    <w:rsid w:val="00E12DF5"/>
    <w:rsid w:val="00E13095"/>
    <w:rsid w:val="00E14AD9"/>
    <w:rsid w:val="00E14CDD"/>
    <w:rsid w:val="00E15235"/>
    <w:rsid w:val="00E16D92"/>
    <w:rsid w:val="00E17F8A"/>
    <w:rsid w:val="00E20FCB"/>
    <w:rsid w:val="00E221FF"/>
    <w:rsid w:val="00E22D95"/>
    <w:rsid w:val="00E23C44"/>
    <w:rsid w:val="00E24767"/>
    <w:rsid w:val="00E24A12"/>
    <w:rsid w:val="00E25A38"/>
    <w:rsid w:val="00E27029"/>
    <w:rsid w:val="00E2780C"/>
    <w:rsid w:val="00E31CF5"/>
    <w:rsid w:val="00E32A09"/>
    <w:rsid w:val="00E3300A"/>
    <w:rsid w:val="00E351F8"/>
    <w:rsid w:val="00E3630E"/>
    <w:rsid w:val="00E37260"/>
    <w:rsid w:val="00E40560"/>
    <w:rsid w:val="00E408DF"/>
    <w:rsid w:val="00E410E8"/>
    <w:rsid w:val="00E423B3"/>
    <w:rsid w:val="00E426B2"/>
    <w:rsid w:val="00E47D9C"/>
    <w:rsid w:val="00E50373"/>
    <w:rsid w:val="00E50C1B"/>
    <w:rsid w:val="00E51620"/>
    <w:rsid w:val="00E524B1"/>
    <w:rsid w:val="00E52645"/>
    <w:rsid w:val="00E52F6C"/>
    <w:rsid w:val="00E54550"/>
    <w:rsid w:val="00E550BF"/>
    <w:rsid w:val="00E55EE3"/>
    <w:rsid w:val="00E608DF"/>
    <w:rsid w:val="00E61A00"/>
    <w:rsid w:val="00E6591D"/>
    <w:rsid w:val="00E66E90"/>
    <w:rsid w:val="00E66F4D"/>
    <w:rsid w:val="00E670E7"/>
    <w:rsid w:val="00E67F2E"/>
    <w:rsid w:val="00E73267"/>
    <w:rsid w:val="00E746F2"/>
    <w:rsid w:val="00E74721"/>
    <w:rsid w:val="00E756B7"/>
    <w:rsid w:val="00E7596A"/>
    <w:rsid w:val="00E75C47"/>
    <w:rsid w:val="00E760F9"/>
    <w:rsid w:val="00E7743C"/>
    <w:rsid w:val="00E8168F"/>
    <w:rsid w:val="00E81F72"/>
    <w:rsid w:val="00E82A77"/>
    <w:rsid w:val="00E82D87"/>
    <w:rsid w:val="00E82F21"/>
    <w:rsid w:val="00E83D7D"/>
    <w:rsid w:val="00E84C16"/>
    <w:rsid w:val="00E857E4"/>
    <w:rsid w:val="00E85D9A"/>
    <w:rsid w:val="00E8688E"/>
    <w:rsid w:val="00E86E6B"/>
    <w:rsid w:val="00E87EF9"/>
    <w:rsid w:val="00E902FD"/>
    <w:rsid w:val="00E90FE9"/>
    <w:rsid w:val="00E91361"/>
    <w:rsid w:val="00E941C5"/>
    <w:rsid w:val="00E94A20"/>
    <w:rsid w:val="00E957E4"/>
    <w:rsid w:val="00E95D82"/>
    <w:rsid w:val="00E95EED"/>
    <w:rsid w:val="00E96905"/>
    <w:rsid w:val="00E9720C"/>
    <w:rsid w:val="00E97D87"/>
    <w:rsid w:val="00EA30D5"/>
    <w:rsid w:val="00EA4081"/>
    <w:rsid w:val="00EA4164"/>
    <w:rsid w:val="00EA4FA3"/>
    <w:rsid w:val="00EA544F"/>
    <w:rsid w:val="00EA5850"/>
    <w:rsid w:val="00EA646D"/>
    <w:rsid w:val="00EB051E"/>
    <w:rsid w:val="00EB05F3"/>
    <w:rsid w:val="00EB0C3E"/>
    <w:rsid w:val="00EB114C"/>
    <w:rsid w:val="00EB148A"/>
    <w:rsid w:val="00EB18AD"/>
    <w:rsid w:val="00EB2612"/>
    <w:rsid w:val="00EB2AEA"/>
    <w:rsid w:val="00EB2C2D"/>
    <w:rsid w:val="00EB368E"/>
    <w:rsid w:val="00EB37B7"/>
    <w:rsid w:val="00EB4519"/>
    <w:rsid w:val="00EB5472"/>
    <w:rsid w:val="00EC0489"/>
    <w:rsid w:val="00EC04AF"/>
    <w:rsid w:val="00EC1182"/>
    <w:rsid w:val="00EC14F4"/>
    <w:rsid w:val="00EC1549"/>
    <w:rsid w:val="00EC1F07"/>
    <w:rsid w:val="00EC2034"/>
    <w:rsid w:val="00EC2384"/>
    <w:rsid w:val="00EC3A60"/>
    <w:rsid w:val="00EC45AC"/>
    <w:rsid w:val="00EC4E34"/>
    <w:rsid w:val="00EC589A"/>
    <w:rsid w:val="00EC5AED"/>
    <w:rsid w:val="00EC5F52"/>
    <w:rsid w:val="00ED0E68"/>
    <w:rsid w:val="00ED1FD3"/>
    <w:rsid w:val="00ED2750"/>
    <w:rsid w:val="00ED4632"/>
    <w:rsid w:val="00ED5637"/>
    <w:rsid w:val="00ED5964"/>
    <w:rsid w:val="00ED6EE6"/>
    <w:rsid w:val="00ED7499"/>
    <w:rsid w:val="00ED7B70"/>
    <w:rsid w:val="00EE003D"/>
    <w:rsid w:val="00EE02F6"/>
    <w:rsid w:val="00EE109C"/>
    <w:rsid w:val="00EE1531"/>
    <w:rsid w:val="00EE18EF"/>
    <w:rsid w:val="00EE2C14"/>
    <w:rsid w:val="00EE378A"/>
    <w:rsid w:val="00EE404E"/>
    <w:rsid w:val="00EE5D57"/>
    <w:rsid w:val="00EE6173"/>
    <w:rsid w:val="00EE7584"/>
    <w:rsid w:val="00EE7EB5"/>
    <w:rsid w:val="00EE7F3E"/>
    <w:rsid w:val="00EF03C6"/>
    <w:rsid w:val="00EF09B1"/>
    <w:rsid w:val="00EF106B"/>
    <w:rsid w:val="00EF1ACC"/>
    <w:rsid w:val="00EF283D"/>
    <w:rsid w:val="00EF2A3D"/>
    <w:rsid w:val="00EF2E23"/>
    <w:rsid w:val="00EF2F6C"/>
    <w:rsid w:val="00EF4B67"/>
    <w:rsid w:val="00EF5305"/>
    <w:rsid w:val="00EF5953"/>
    <w:rsid w:val="00EF6056"/>
    <w:rsid w:val="00EF691B"/>
    <w:rsid w:val="00EF6FED"/>
    <w:rsid w:val="00EF7D7F"/>
    <w:rsid w:val="00F0060F"/>
    <w:rsid w:val="00F00F81"/>
    <w:rsid w:val="00F0142A"/>
    <w:rsid w:val="00F01579"/>
    <w:rsid w:val="00F01847"/>
    <w:rsid w:val="00F01E26"/>
    <w:rsid w:val="00F02500"/>
    <w:rsid w:val="00F02637"/>
    <w:rsid w:val="00F0482A"/>
    <w:rsid w:val="00F05CBD"/>
    <w:rsid w:val="00F06BB1"/>
    <w:rsid w:val="00F07C46"/>
    <w:rsid w:val="00F1043E"/>
    <w:rsid w:val="00F130E0"/>
    <w:rsid w:val="00F1482B"/>
    <w:rsid w:val="00F14F77"/>
    <w:rsid w:val="00F14F98"/>
    <w:rsid w:val="00F14FFF"/>
    <w:rsid w:val="00F15BAD"/>
    <w:rsid w:val="00F17330"/>
    <w:rsid w:val="00F175B2"/>
    <w:rsid w:val="00F20622"/>
    <w:rsid w:val="00F2180F"/>
    <w:rsid w:val="00F22684"/>
    <w:rsid w:val="00F23499"/>
    <w:rsid w:val="00F2666A"/>
    <w:rsid w:val="00F26C27"/>
    <w:rsid w:val="00F27281"/>
    <w:rsid w:val="00F27A71"/>
    <w:rsid w:val="00F30AC8"/>
    <w:rsid w:val="00F31B5D"/>
    <w:rsid w:val="00F32953"/>
    <w:rsid w:val="00F36B45"/>
    <w:rsid w:val="00F36FFD"/>
    <w:rsid w:val="00F37B4F"/>
    <w:rsid w:val="00F40D1C"/>
    <w:rsid w:val="00F40FBC"/>
    <w:rsid w:val="00F427DA"/>
    <w:rsid w:val="00F42A6F"/>
    <w:rsid w:val="00F42F0C"/>
    <w:rsid w:val="00F434B2"/>
    <w:rsid w:val="00F43878"/>
    <w:rsid w:val="00F446FF"/>
    <w:rsid w:val="00F4489F"/>
    <w:rsid w:val="00F45D0A"/>
    <w:rsid w:val="00F45D0F"/>
    <w:rsid w:val="00F47E75"/>
    <w:rsid w:val="00F50425"/>
    <w:rsid w:val="00F50470"/>
    <w:rsid w:val="00F506DA"/>
    <w:rsid w:val="00F5296A"/>
    <w:rsid w:val="00F52DCB"/>
    <w:rsid w:val="00F52FD8"/>
    <w:rsid w:val="00F533EA"/>
    <w:rsid w:val="00F536F2"/>
    <w:rsid w:val="00F54699"/>
    <w:rsid w:val="00F54E3A"/>
    <w:rsid w:val="00F55532"/>
    <w:rsid w:val="00F55D95"/>
    <w:rsid w:val="00F55FE5"/>
    <w:rsid w:val="00F624B1"/>
    <w:rsid w:val="00F62DBB"/>
    <w:rsid w:val="00F635E3"/>
    <w:rsid w:val="00F64465"/>
    <w:rsid w:val="00F646B5"/>
    <w:rsid w:val="00F646CB"/>
    <w:rsid w:val="00F65399"/>
    <w:rsid w:val="00F65D4D"/>
    <w:rsid w:val="00F667D2"/>
    <w:rsid w:val="00F66E44"/>
    <w:rsid w:val="00F676A2"/>
    <w:rsid w:val="00F67734"/>
    <w:rsid w:val="00F7114C"/>
    <w:rsid w:val="00F7127E"/>
    <w:rsid w:val="00F734E9"/>
    <w:rsid w:val="00F73BD2"/>
    <w:rsid w:val="00F7410D"/>
    <w:rsid w:val="00F74F9F"/>
    <w:rsid w:val="00F76597"/>
    <w:rsid w:val="00F772A7"/>
    <w:rsid w:val="00F77908"/>
    <w:rsid w:val="00F803B2"/>
    <w:rsid w:val="00F805B0"/>
    <w:rsid w:val="00F81F7E"/>
    <w:rsid w:val="00F81F9F"/>
    <w:rsid w:val="00F821BD"/>
    <w:rsid w:val="00F8241D"/>
    <w:rsid w:val="00F8527B"/>
    <w:rsid w:val="00F86194"/>
    <w:rsid w:val="00F87416"/>
    <w:rsid w:val="00F90EB7"/>
    <w:rsid w:val="00F911A7"/>
    <w:rsid w:val="00F911C0"/>
    <w:rsid w:val="00F95B3A"/>
    <w:rsid w:val="00F9611C"/>
    <w:rsid w:val="00F97C9A"/>
    <w:rsid w:val="00FA02BD"/>
    <w:rsid w:val="00FA1EF0"/>
    <w:rsid w:val="00FA29BD"/>
    <w:rsid w:val="00FA2C33"/>
    <w:rsid w:val="00FA30AA"/>
    <w:rsid w:val="00FA362A"/>
    <w:rsid w:val="00FA4320"/>
    <w:rsid w:val="00FA7DC0"/>
    <w:rsid w:val="00FB0BFA"/>
    <w:rsid w:val="00FB325E"/>
    <w:rsid w:val="00FB3D52"/>
    <w:rsid w:val="00FB46DC"/>
    <w:rsid w:val="00FB4FDB"/>
    <w:rsid w:val="00FB5C30"/>
    <w:rsid w:val="00FB740B"/>
    <w:rsid w:val="00FB7FD0"/>
    <w:rsid w:val="00FC171F"/>
    <w:rsid w:val="00FC319E"/>
    <w:rsid w:val="00FC41C5"/>
    <w:rsid w:val="00FC5C5F"/>
    <w:rsid w:val="00FC5C8F"/>
    <w:rsid w:val="00FC5F19"/>
    <w:rsid w:val="00FC680F"/>
    <w:rsid w:val="00FC7CC2"/>
    <w:rsid w:val="00FD10A2"/>
    <w:rsid w:val="00FD1111"/>
    <w:rsid w:val="00FD142B"/>
    <w:rsid w:val="00FD1852"/>
    <w:rsid w:val="00FD1C29"/>
    <w:rsid w:val="00FD32A8"/>
    <w:rsid w:val="00FD36D9"/>
    <w:rsid w:val="00FD3EFE"/>
    <w:rsid w:val="00FD3F82"/>
    <w:rsid w:val="00FD4CDF"/>
    <w:rsid w:val="00FD5BB8"/>
    <w:rsid w:val="00FD611B"/>
    <w:rsid w:val="00FD7830"/>
    <w:rsid w:val="00FE1390"/>
    <w:rsid w:val="00FE2DFB"/>
    <w:rsid w:val="00FE4C04"/>
    <w:rsid w:val="00FE7B94"/>
    <w:rsid w:val="00FF0C3E"/>
    <w:rsid w:val="00FF21E0"/>
    <w:rsid w:val="00FF2A76"/>
    <w:rsid w:val="00FF3E15"/>
    <w:rsid w:val="00FF48C5"/>
    <w:rsid w:val="00FF4D0D"/>
    <w:rsid w:val="00FF4D38"/>
    <w:rsid w:val="00FF5726"/>
    <w:rsid w:val="00FF5822"/>
    <w:rsid w:val="00FF7EE3"/>
    <w:rsid w:val="020E209E"/>
    <w:rsid w:val="044A9EEC"/>
    <w:rsid w:val="05E66F4D"/>
    <w:rsid w:val="0724B7B0"/>
    <w:rsid w:val="0A1D7E33"/>
    <w:rsid w:val="17D69BD1"/>
    <w:rsid w:val="1F4F9FF6"/>
    <w:rsid w:val="20A57255"/>
    <w:rsid w:val="20EA0619"/>
    <w:rsid w:val="24742E67"/>
    <w:rsid w:val="25942B51"/>
    <w:rsid w:val="26655A2F"/>
    <w:rsid w:val="299188D4"/>
    <w:rsid w:val="2AC99899"/>
    <w:rsid w:val="3004B5B3"/>
    <w:rsid w:val="33BA99A8"/>
    <w:rsid w:val="3445B594"/>
    <w:rsid w:val="35045B90"/>
    <w:rsid w:val="36F23A6A"/>
    <w:rsid w:val="3DB0EF1E"/>
    <w:rsid w:val="4788E09E"/>
    <w:rsid w:val="497EC92B"/>
    <w:rsid w:val="4DB82A77"/>
    <w:rsid w:val="505AACB9"/>
    <w:rsid w:val="5325AB71"/>
    <w:rsid w:val="54C17BD2"/>
    <w:rsid w:val="556F335C"/>
    <w:rsid w:val="5D1C00E7"/>
    <w:rsid w:val="5EA41129"/>
    <w:rsid w:val="641669D1"/>
    <w:rsid w:val="67753087"/>
    <w:rsid w:val="6AECA3A2"/>
    <w:rsid w:val="6E866DE7"/>
    <w:rsid w:val="6FB4EF10"/>
    <w:rsid w:val="74096FA3"/>
    <w:rsid w:val="78E693E7"/>
    <w:rsid w:val="79930830"/>
    <w:rsid w:val="7C3F8D06"/>
    <w:rsid w:val="7ED2DE05"/>
    <w:rsid w:val="7F772D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BE32540"/>
  <w15:chartTrackingRefBased/>
  <w15:docId w15:val="{9728BB17-00C1-46FB-AD86-1E401E96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043E"/>
  </w:style>
  <w:style w:type="paragraph" w:styleId="Nagwek2">
    <w:name w:val="heading 2"/>
    <w:basedOn w:val="Normalny"/>
    <w:next w:val="Normalny"/>
    <w:link w:val="Nagwek2Znak"/>
    <w:uiPriority w:val="9"/>
    <w:unhideWhenUsed/>
    <w:qFormat/>
    <w:rsid w:val="00521B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794D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Inne">
    <w:name w:val="Inne_"/>
    <w:basedOn w:val="Domylnaczcionkaakapitu"/>
    <w:link w:val="Inne0"/>
    <w:rsid w:val="00BC03B8"/>
    <w:rPr>
      <w:rFonts w:ascii="Times New Roman" w:eastAsia="Times New Roman" w:hAnsi="Times New Roman" w:cs="Times New Roman"/>
      <w:sz w:val="22"/>
    </w:rPr>
  </w:style>
  <w:style w:type="paragraph" w:customStyle="1" w:styleId="Inne0">
    <w:name w:val="Inne"/>
    <w:basedOn w:val="Normalny"/>
    <w:link w:val="Inne"/>
    <w:rsid w:val="00BC03B8"/>
    <w:pPr>
      <w:widowControl w:val="0"/>
      <w:spacing w:after="0" w:line="240" w:lineRule="auto"/>
    </w:pPr>
    <w:rPr>
      <w:rFonts w:ascii="Times New Roman" w:eastAsia="Times New Roman" w:hAnsi="Times New Roman" w:cs="Times New Roman"/>
      <w:sz w:val="22"/>
    </w:rPr>
  </w:style>
  <w:style w:type="character" w:customStyle="1" w:styleId="Teksttreci">
    <w:name w:val="Tekst treści_"/>
    <w:basedOn w:val="Domylnaczcionkaakapitu"/>
    <w:link w:val="Teksttreci0"/>
    <w:rsid w:val="00BC03B8"/>
    <w:rPr>
      <w:rFonts w:ascii="Times New Roman" w:eastAsia="Times New Roman" w:hAnsi="Times New Roman" w:cs="Times New Roman"/>
      <w:sz w:val="22"/>
    </w:rPr>
  </w:style>
  <w:style w:type="paragraph" w:customStyle="1" w:styleId="Teksttreci0">
    <w:name w:val="Tekst treści"/>
    <w:basedOn w:val="Normalny"/>
    <w:link w:val="Teksttreci"/>
    <w:rsid w:val="00BC03B8"/>
    <w:pPr>
      <w:widowControl w:val="0"/>
      <w:spacing w:after="180" w:line="300" w:lineRule="auto"/>
    </w:pPr>
    <w:rPr>
      <w:rFonts w:ascii="Times New Roman" w:eastAsia="Times New Roman" w:hAnsi="Times New Roman" w:cs="Times New Roman"/>
      <w:sz w:val="22"/>
    </w:rPr>
  </w:style>
  <w:style w:type="paragraph" w:styleId="Nagwek">
    <w:name w:val="header"/>
    <w:basedOn w:val="Normalny"/>
    <w:link w:val="NagwekZnak"/>
    <w:uiPriority w:val="99"/>
    <w:unhideWhenUsed/>
    <w:rsid w:val="00B516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1645"/>
  </w:style>
  <w:style w:type="paragraph" w:styleId="Stopka">
    <w:name w:val="footer"/>
    <w:basedOn w:val="Normalny"/>
    <w:link w:val="StopkaZnak"/>
    <w:uiPriority w:val="99"/>
    <w:unhideWhenUsed/>
    <w:rsid w:val="00B516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1645"/>
  </w:style>
  <w:style w:type="paragraph" w:styleId="Akapitzlist">
    <w:name w:val="List Paragraph"/>
    <w:aliases w:val="Numerowanie,List Paragraph"/>
    <w:basedOn w:val="Normalny"/>
    <w:link w:val="AkapitzlistZnak"/>
    <w:uiPriority w:val="34"/>
    <w:qFormat/>
    <w:rsid w:val="00B51645"/>
    <w:pPr>
      <w:ind w:left="720"/>
      <w:contextualSpacing/>
    </w:pPr>
  </w:style>
  <w:style w:type="paragraph" w:styleId="Tekstprzypisudolnego">
    <w:name w:val="footnote text"/>
    <w:basedOn w:val="Normalny"/>
    <w:link w:val="TekstprzypisudolnegoZnak"/>
    <w:uiPriority w:val="99"/>
    <w:unhideWhenUsed/>
    <w:rsid w:val="004C6504"/>
    <w:pPr>
      <w:spacing w:after="0" w:line="240" w:lineRule="auto"/>
    </w:pPr>
    <w:rPr>
      <w:szCs w:val="20"/>
    </w:rPr>
  </w:style>
  <w:style w:type="character" w:customStyle="1" w:styleId="TekstprzypisudolnegoZnak">
    <w:name w:val="Tekst przypisu dolnego Znak"/>
    <w:basedOn w:val="Domylnaczcionkaakapitu"/>
    <w:link w:val="Tekstprzypisudolnego"/>
    <w:uiPriority w:val="99"/>
    <w:rsid w:val="004C6504"/>
    <w:rPr>
      <w:szCs w:val="20"/>
    </w:rPr>
  </w:style>
  <w:style w:type="character" w:styleId="Odwoanieprzypisudolnego">
    <w:name w:val="footnote reference"/>
    <w:aliases w:val="Footnote Reference Number"/>
    <w:basedOn w:val="Domylnaczcionkaakapitu"/>
    <w:semiHidden/>
    <w:unhideWhenUsed/>
    <w:rsid w:val="004C6504"/>
    <w:rPr>
      <w:vertAlign w:val="superscript"/>
    </w:rPr>
  </w:style>
  <w:style w:type="character" w:customStyle="1" w:styleId="Podpistabeli">
    <w:name w:val="Podpis tabeli_"/>
    <w:basedOn w:val="Domylnaczcionkaakapitu"/>
    <w:link w:val="Podpistabeli0"/>
    <w:rsid w:val="00A11924"/>
    <w:rPr>
      <w:rFonts w:ascii="Times New Roman" w:eastAsia="Times New Roman" w:hAnsi="Times New Roman" w:cs="Times New Roman"/>
      <w:sz w:val="22"/>
    </w:rPr>
  </w:style>
  <w:style w:type="paragraph" w:customStyle="1" w:styleId="Podpistabeli0">
    <w:name w:val="Podpis tabeli"/>
    <w:basedOn w:val="Normalny"/>
    <w:link w:val="Podpistabeli"/>
    <w:rsid w:val="00A11924"/>
    <w:pPr>
      <w:widowControl w:val="0"/>
      <w:spacing w:after="0" w:line="240" w:lineRule="auto"/>
    </w:pPr>
    <w:rPr>
      <w:rFonts w:ascii="Times New Roman" w:eastAsia="Times New Roman" w:hAnsi="Times New Roman" w:cs="Times New Roman"/>
      <w:sz w:val="22"/>
    </w:rPr>
  </w:style>
  <w:style w:type="character" w:styleId="Odwoaniedokomentarza">
    <w:name w:val="annotation reference"/>
    <w:basedOn w:val="Domylnaczcionkaakapitu"/>
    <w:unhideWhenUsed/>
    <w:rsid w:val="00EA30D5"/>
    <w:rPr>
      <w:sz w:val="16"/>
      <w:szCs w:val="16"/>
    </w:rPr>
  </w:style>
  <w:style w:type="paragraph" w:styleId="Tekstkomentarza">
    <w:name w:val="annotation text"/>
    <w:basedOn w:val="Normalny"/>
    <w:link w:val="TekstkomentarzaZnak"/>
    <w:unhideWhenUsed/>
    <w:rsid w:val="00EA30D5"/>
    <w:pPr>
      <w:spacing w:line="240" w:lineRule="auto"/>
    </w:pPr>
    <w:rPr>
      <w:szCs w:val="20"/>
    </w:rPr>
  </w:style>
  <w:style w:type="character" w:customStyle="1" w:styleId="TekstkomentarzaZnak">
    <w:name w:val="Tekst komentarza Znak"/>
    <w:basedOn w:val="Domylnaczcionkaakapitu"/>
    <w:link w:val="Tekstkomentarza"/>
    <w:rsid w:val="00EA30D5"/>
    <w:rPr>
      <w:szCs w:val="20"/>
    </w:rPr>
  </w:style>
  <w:style w:type="paragraph" w:styleId="Tekstdymka">
    <w:name w:val="Balloon Text"/>
    <w:basedOn w:val="Normalny"/>
    <w:link w:val="TekstdymkaZnak"/>
    <w:uiPriority w:val="99"/>
    <w:semiHidden/>
    <w:unhideWhenUsed/>
    <w:rsid w:val="00EA30D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A30D5"/>
    <w:rPr>
      <w:rFonts w:ascii="Segoe UI" w:hAnsi="Segoe UI" w:cs="Segoe UI"/>
      <w:sz w:val="18"/>
      <w:szCs w:val="18"/>
    </w:rPr>
  </w:style>
  <w:style w:type="character" w:styleId="Hipercze">
    <w:name w:val="Hyperlink"/>
    <w:basedOn w:val="Domylnaczcionkaakapitu"/>
    <w:uiPriority w:val="99"/>
    <w:unhideWhenUsed/>
    <w:rsid w:val="00876249"/>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990623"/>
    <w:rPr>
      <w:b/>
      <w:bCs/>
    </w:rPr>
  </w:style>
  <w:style w:type="character" w:customStyle="1" w:styleId="TematkomentarzaZnak">
    <w:name w:val="Temat komentarza Znak"/>
    <w:basedOn w:val="TekstkomentarzaZnak"/>
    <w:link w:val="Tematkomentarza"/>
    <w:uiPriority w:val="99"/>
    <w:semiHidden/>
    <w:rsid w:val="00990623"/>
    <w:rPr>
      <w:b/>
      <w:bCs/>
      <w:szCs w:val="20"/>
    </w:rPr>
  </w:style>
  <w:style w:type="character" w:customStyle="1" w:styleId="markedcontent">
    <w:name w:val="markedcontent"/>
    <w:basedOn w:val="Domylnaczcionkaakapitu"/>
    <w:rsid w:val="00634BEC"/>
  </w:style>
  <w:style w:type="paragraph" w:styleId="Tekstprzypisukocowego">
    <w:name w:val="endnote text"/>
    <w:basedOn w:val="Normalny"/>
    <w:link w:val="TekstprzypisukocowegoZnak"/>
    <w:uiPriority w:val="99"/>
    <w:semiHidden/>
    <w:unhideWhenUsed/>
    <w:rsid w:val="005F2E93"/>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5F2E93"/>
    <w:rPr>
      <w:szCs w:val="20"/>
    </w:rPr>
  </w:style>
  <w:style w:type="character" w:styleId="Odwoanieprzypisukocowego">
    <w:name w:val="endnote reference"/>
    <w:basedOn w:val="Domylnaczcionkaakapitu"/>
    <w:uiPriority w:val="99"/>
    <w:semiHidden/>
    <w:unhideWhenUsed/>
    <w:rsid w:val="005F2E93"/>
    <w:rPr>
      <w:vertAlign w:val="superscript"/>
    </w:rPr>
  </w:style>
  <w:style w:type="paragraph" w:styleId="Legenda">
    <w:name w:val="caption"/>
    <w:basedOn w:val="Normalny"/>
    <w:next w:val="Normalny"/>
    <w:uiPriority w:val="35"/>
    <w:unhideWhenUsed/>
    <w:qFormat/>
    <w:rsid w:val="004F3C85"/>
    <w:pPr>
      <w:spacing w:after="200" w:line="240" w:lineRule="auto"/>
    </w:pPr>
    <w:rPr>
      <w:i/>
      <w:iCs/>
      <w:color w:val="44546A" w:themeColor="text2"/>
      <w:sz w:val="18"/>
      <w:szCs w:val="18"/>
    </w:rPr>
  </w:style>
  <w:style w:type="character" w:styleId="Pogrubienie">
    <w:name w:val="Strong"/>
    <w:basedOn w:val="Domylnaczcionkaakapitu"/>
    <w:uiPriority w:val="22"/>
    <w:qFormat/>
    <w:rsid w:val="00B25223"/>
    <w:rPr>
      <w:b/>
      <w:bCs/>
    </w:rPr>
  </w:style>
  <w:style w:type="character" w:customStyle="1" w:styleId="Nagwek2Znak">
    <w:name w:val="Nagłówek 2 Znak"/>
    <w:basedOn w:val="Domylnaczcionkaakapitu"/>
    <w:link w:val="Nagwek2"/>
    <w:uiPriority w:val="9"/>
    <w:rsid w:val="00521B6D"/>
    <w:rPr>
      <w:rFonts w:asciiTheme="majorHAnsi" w:eastAsiaTheme="majorEastAsia" w:hAnsiTheme="majorHAnsi" w:cstheme="majorBidi"/>
      <w:color w:val="2E74B5" w:themeColor="accent1" w:themeShade="BF"/>
      <w:sz w:val="26"/>
      <w:szCs w:val="26"/>
    </w:rPr>
  </w:style>
  <w:style w:type="character" w:styleId="UyteHipercze">
    <w:name w:val="FollowedHyperlink"/>
    <w:basedOn w:val="Domylnaczcionkaakapitu"/>
    <w:uiPriority w:val="99"/>
    <w:semiHidden/>
    <w:unhideWhenUsed/>
    <w:rsid w:val="00CC625B"/>
    <w:rPr>
      <w:color w:val="954F72" w:themeColor="followedHyperlink"/>
      <w:u w:val="single"/>
    </w:rPr>
  </w:style>
  <w:style w:type="table" w:styleId="Tabela-Siatka">
    <w:name w:val="Table Grid"/>
    <w:basedOn w:val="Standardowy"/>
    <w:uiPriority w:val="39"/>
    <w:rsid w:val="00557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F7F4A"/>
    <w:pPr>
      <w:spacing w:after="0" w:line="240" w:lineRule="auto"/>
    </w:pPr>
  </w:style>
  <w:style w:type="character" w:customStyle="1" w:styleId="AkapitzlistZnak">
    <w:name w:val="Akapit z listą Znak"/>
    <w:aliases w:val="Numerowanie Znak,List Paragraph Znak"/>
    <w:link w:val="Akapitzlist"/>
    <w:uiPriority w:val="34"/>
    <w:locked/>
    <w:rsid w:val="004177C0"/>
  </w:style>
  <w:style w:type="character" w:styleId="Tekstzastpczy">
    <w:name w:val="Placeholder Text"/>
    <w:basedOn w:val="Domylnaczcionkaakapitu"/>
    <w:uiPriority w:val="99"/>
    <w:semiHidden/>
    <w:rsid w:val="003D1577"/>
    <w:rPr>
      <w:color w:val="808080"/>
    </w:rPr>
  </w:style>
  <w:style w:type="character" w:customStyle="1" w:styleId="Nagwek3Znak">
    <w:name w:val="Nagłówek 3 Znak"/>
    <w:basedOn w:val="Domylnaczcionkaakapitu"/>
    <w:link w:val="Nagwek3"/>
    <w:uiPriority w:val="9"/>
    <w:semiHidden/>
    <w:rsid w:val="00794DAD"/>
    <w:rPr>
      <w:rFonts w:asciiTheme="majorHAnsi" w:eastAsiaTheme="majorEastAsia" w:hAnsiTheme="majorHAnsi" w:cstheme="majorBidi"/>
      <w:color w:val="1F4D78" w:themeColor="accent1" w:themeShade="7F"/>
      <w:sz w:val="24"/>
      <w:szCs w:val="24"/>
    </w:rPr>
  </w:style>
  <w:style w:type="character" w:customStyle="1" w:styleId="Nierozpoznanawzmianka1">
    <w:name w:val="Nierozpoznana wzmianka1"/>
    <w:basedOn w:val="Domylnaczcionkaakapitu"/>
    <w:uiPriority w:val="99"/>
    <w:semiHidden/>
    <w:unhideWhenUsed/>
    <w:rsid w:val="00BD0096"/>
    <w:rPr>
      <w:color w:val="605E5C"/>
      <w:shd w:val="clear" w:color="auto" w:fill="E1DFDD"/>
    </w:rPr>
  </w:style>
  <w:style w:type="paragraph" w:customStyle="1" w:styleId="Default">
    <w:name w:val="Default"/>
    <w:rsid w:val="007E08CA"/>
    <w:pPr>
      <w:autoSpaceDE w:val="0"/>
      <w:autoSpaceDN w:val="0"/>
      <w:adjustRightInd w:val="0"/>
      <w:spacing w:after="0" w:line="240" w:lineRule="auto"/>
    </w:pPr>
    <w:rPr>
      <w:rFonts w:ascii="EUAlbertina" w:hAnsi="EUAlbertina" w:cs="EUAlbertina"/>
      <w:color w:val="000000"/>
      <w:sz w:val="24"/>
      <w:szCs w:val="24"/>
    </w:rPr>
  </w:style>
  <w:style w:type="paragraph" w:styleId="NormalnyWeb">
    <w:name w:val="Normal (Web)"/>
    <w:basedOn w:val="Normalny"/>
    <w:uiPriority w:val="99"/>
    <w:semiHidden/>
    <w:unhideWhenUsed/>
    <w:rsid w:val="004D34E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5C22B1"/>
    <w:rPr>
      <w:color w:val="605E5C"/>
      <w:shd w:val="clear" w:color="auto" w:fill="E1DFDD"/>
    </w:rPr>
  </w:style>
  <w:style w:type="character" w:customStyle="1" w:styleId="ui-provider">
    <w:name w:val="ui-provider"/>
    <w:basedOn w:val="Domylnaczcionkaakapitu"/>
    <w:rsid w:val="000F0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8733">
      <w:bodyDiv w:val="1"/>
      <w:marLeft w:val="0"/>
      <w:marRight w:val="0"/>
      <w:marTop w:val="0"/>
      <w:marBottom w:val="0"/>
      <w:divBdr>
        <w:top w:val="none" w:sz="0" w:space="0" w:color="auto"/>
        <w:left w:val="none" w:sz="0" w:space="0" w:color="auto"/>
        <w:bottom w:val="none" w:sz="0" w:space="0" w:color="auto"/>
        <w:right w:val="none" w:sz="0" w:space="0" w:color="auto"/>
      </w:divBdr>
    </w:div>
    <w:div w:id="39210177">
      <w:bodyDiv w:val="1"/>
      <w:marLeft w:val="0"/>
      <w:marRight w:val="0"/>
      <w:marTop w:val="0"/>
      <w:marBottom w:val="0"/>
      <w:divBdr>
        <w:top w:val="none" w:sz="0" w:space="0" w:color="auto"/>
        <w:left w:val="none" w:sz="0" w:space="0" w:color="auto"/>
        <w:bottom w:val="none" w:sz="0" w:space="0" w:color="auto"/>
        <w:right w:val="none" w:sz="0" w:space="0" w:color="auto"/>
      </w:divBdr>
    </w:div>
    <w:div w:id="162548663">
      <w:bodyDiv w:val="1"/>
      <w:marLeft w:val="0"/>
      <w:marRight w:val="0"/>
      <w:marTop w:val="0"/>
      <w:marBottom w:val="0"/>
      <w:divBdr>
        <w:top w:val="none" w:sz="0" w:space="0" w:color="auto"/>
        <w:left w:val="none" w:sz="0" w:space="0" w:color="auto"/>
        <w:bottom w:val="none" w:sz="0" w:space="0" w:color="auto"/>
        <w:right w:val="none" w:sz="0" w:space="0" w:color="auto"/>
      </w:divBdr>
    </w:div>
    <w:div w:id="166675448">
      <w:bodyDiv w:val="1"/>
      <w:marLeft w:val="0"/>
      <w:marRight w:val="0"/>
      <w:marTop w:val="0"/>
      <w:marBottom w:val="0"/>
      <w:divBdr>
        <w:top w:val="none" w:sz="0" w:space="0" w:color="auto"/>
        <w:left w:val="none" w:sz="0" w:space="0" w:color="auto"/>
        <w:bottom w:val="none" w:sz="0" w:space="0" w:color="auto"/>
        <w:right w:val="none" w:sz="0" w:space="0" w:color="auto"/>
      </w:divBdr>
    </w:div>
    <w:div w:id="179441283">
      <w:bodyDiv w:val="1"/>
      <w:marLeft w:val="0"/>
      <w:marRight w:val="0"/>
      <w:marTop w:val="0"/>
      <w:marBottom w:val="0"/>
      <w:divBdr>
        <w:top w:val="none" w:sz="0" w:space="0" w:color="auto"/>
        <w:left w:val="none" w:sz="0" w:space="0" w:color="auto"/>
        <w:bottom w:val="none" w:sz="0" w:space="0" w:color="auto"/>
        <w:right w:val="none" w:sz="0" w:space="0" w:color="auto"/>
      </w:divBdr>
    </w:div>
    <w:div w:id="332807699">
      <w:bodyDiv w:val="1"/>
      <w:marLeft w:val="0"/>
      <w:marRight w:val="0"/>
      <w:marTop w:val="0"/>
      <w:marBottom w:val="0"/>
      <w:divBdr>
        <w:top w:val="none" w:sz="0" w:space="0" w:color="auto"/>
        <w:left w:val="none" w:sz="0" w:space="0" w:color="auto"/>
        <w:bottom w:val="none" w:sz="0" w:space="0" w:color="auto"/>
        <w:right w:val="none" w:sz="0" w:space="0" w:color="auto"/>
      </w:divBdr>
    </w:div>
    <w:div w:id="339157808">
      <w:bodyDiv w:val="1"/>
      <w:marLeft w:val="0"/>
      <w:marRight w:val="0"/>
      <w:marTop w:val="0"/>
      <w:marBottom w:val="0"/>
      <w:divBdr>
        <w:top w:val="none" w:sz="0" w:space="0" w:color="auto"/>
        <w:left w:val="none" w:sz="0" w:space="0" w:color="auto"/>
        <w:bottom w:val="none" w:sz="0" w:space="0" w:color="auto"/>
        <w:right w:val="none" w:sz="0" w:space="0" w:color="auto"/>
      </w:divBdr>
    </w:div>
    <w:div w:id="356195453">
      <w:bodyDiv w:val="1"/>
      <w:marLeft w:val="0"/>
      <w:marRight w:val="0"/>
      <w:marTop w:val="0"/>
      <w:marBottom w:val="0"/>
      <w:divBdr>
        <w:top w:val="none" w:sz="0" w:space="0" w:color="auto"/>
        <w:left w:val="none" w:sz="0" w:space="0" w:color="auto"/>
        <w:bottom w:val="none" w:sz="0" w:space="0" w:color="auto"/>
        <w:right w:val="none" w:sz="0" w:space="0" w:color="auto"/>
      </w:divBdr>
      <w:divsChild>
        <w:div w:id="1245846388">
          <w:marLeft w:val="0"/>
          <w:marRight w:val="0"/>
          <w:marTop w:val="0"/>
          <w:marBottom w:val="0"/>
          <w:divBdr>
            <w:top w:val="none" w:sz="0" w:space="0" w:color="auto"/>
            <w:left w:val="none" w:sz="0" w:space="0" w:color="auto"/>
            <w:bottom w:val="none" w:sz="0" w:space="0" w:color="auto"/>
            <w:right w:val="none" w:sz="0" w:space="0" w:color="auto"/>
          </w:divBdr>
        </w:div>
        <w:div w:id="1502506926">
          <w:marLeft w:val="0"/>
          <w:marRight w:val="0"/>
          <w:marTop w:val="0"/>
          <w:marBottom w:val="0"/>
          <w:divBdr>
            <w:top w:val="none" w:sz="0" w:space="0" w:color="auto"/>
            <w:left w:val="none" w:sz="0" w:space="0" w:color="auto"/>
            <w:bottom w:val="none" w:sz="0" w:space="0" w:color="auto"/>
            <w:right w:val="none" w:sz="0" w:space="0" w:color="auto"/>
          </w:divBdr>
          <w:divsChild>
            <w:div w:id="1134367354">
              <w:marLeft w:val="0"/>
              <w:marRight w:val="0"/>
              <w:marTop w:val="0"/>
              <w:marBottom w:val="0"/>
              <w:divBdr>
                <w:top w:val="none" w:sz="0" w:space="0" w:color="auto"/>
                <w:left w:val="none" w:sz="0" w:space="0" w:color="auto"/>
                <w:bottom w:val="none" w:sz="0" w:space="0" w:color="auto"/>
                <w:right w:val="none" w:sz="0" w:space="0" w:color="auto"/>
              </w:divBdr>
            </w:div>
            <w:div w:id="175000078">
              <w:marLeft w:val="0"/>
              <w:marRight w:val="0"/>
              <w:marTop w:val="0"/>
              <w:marBottom w:val="0"/>
              <w:divBdr>
                <w:top w:val="none" w:sz="0" w:space="0" w:color="auto"/>
                <w:left w:val="none" w:sz="0" w:space="0" w:color="auto"/>
                <w:bottom w:val="none" w:sz="0" w:space="0" w:color="auto"/>
                <w:right w:val="none" w:sz="0" w:space="0" w:color="auto"/>
              </w:divBdr>
              <w:divsChild>
                <w:div w:id="1356270466">
                  <w:marLeft w:val="0"/>
                  <w:marRight w:val="0"/>
                  <w:marTop w:val="0"/>
                  <w:marBottom w:val="0"/>
                  <w:divBdr>
                    <w:top w:val="none" w:sz="0" w:space="0" w:color="auto"/>
                    <w:left w:val="none" w:sz="0" w:space="0" w:color="auto"/>
                    <w:bottom w:val="none" w:sz="0" w:space="0" w:color="auto"/>
                    <w:right w:val="none" w:sz="0" w:space="0" w:color="auto"/>
                  </w:divBdr>
                </w:div>
              </w:divsChild>
            </w:div>
            <w:div w:id="202253236">
              <w:marLeft w:val="0"/>
              <w:marRight w:val="0"/>
              <w:marTop w:val="0"/>
              <w:marBottom w:val="0"/>
              <w:divBdr>
                <w:top w:val="none" w:sz="0" w:space="0" w:color="auto"/>
                <w:left w:val="none" w:sz="0" w:space="0" w:color="auto"/>
                <w:bottom w:val="none" w:sz="0" w:space="0" w:color="auto"/>
                <w:right w:val="none" w:sz="0" w:space="0" w:color="auto"/>
              </w:divBdr>
              <w:divsChild>
                <w:div w:id="329604076">
                  <w:marLeft w:val="0"/>
                  <w:marRight w:val="0"/>
                  <w:marTop w:val="0"/>
                  <w:marBottom w:val="0"/>
                  <w:divBdr>
                    <w:top w:val="none" w:sz="0" w:space="0" w:color="auto"/>
                    <w:left w:val="none" w:sz="0" w:space="0" w:color="auto"/>
                    <w:bottom w:val="none" w:sz="0" w:space="0" w:color="auto"/>
                    <w:right w:val="none" w:sz="0" w:space="0" w:color="auto"/>
                  </w:divBdr>
                </w:div>
              </w:divsChild>
            </w:div>
            <w:div w:id="357195805">
              <w:marLeft w:val="0"/>
              <w:marRight w:val="0"/>
              <w:marTop w:val="0"/>
              <w:marBottom w:val="0"/>
              <w:divBdr>
                <w:top w:val="none" w:sz="0" w:space="0" w:color="auto"/>
                <w:left w:val="none" w:sz="0" w:space="0" w:color="auto"/>
                <w:bottom w:val="none" w:sz="0" w:space="0" w:color="auto"/>
                <w:right w:val="none" w:sz="0" w:space="0" w:color="auto"/>
              </w:divBdr>
              <w:divsChild>
                <w:div w:id="1085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74291">
      <w:bodyDiv w:val="1"/>
      <w:marLeft w:val="0"/>
      <w:marRight w:val="0"/>
      <w:marTop w:val="0"/>
      <w:marBottom w:val="0"/>
      <w:divBdr>
        <w:top w:val="none" w:sz="0" w:space="0" w:color="auto"/>
        <w:left w:val="none" w:sz="0" w:space="0" w:color="auto"/>
        <w:bottom w:val="none" w:sz="0" w:space="0" w:color="auto"/>
        <w:right w:val="none" w:sz="0" w:space="0" w:color="auto"/>
      </w:divBdr>
    </w:div>
    <w:div w:id="574051945">
      <w:bodyDiv w:val="1"/>
      <w:marLeft w:val="0"/>
      <w:marRight w:val="0"/>
      <w:marTop w:val="0"/>
      <w:marBottom w:val="0"/>
      <w:divBdr>
        <w:top w:val="none" w:sz="0" w:space="0" w:color="auto"/>
        <w:left w:val="none" w:sz="0" w:space="0" w:color="auto"/>
        <w:bottom w:val="none" w:sz="0" w:space="0" w:color="auto"/>
        <w:right w:val="none" w:sz="0" w:space="0" w:color="auto"/>
      </w:divBdr>
    </w:div>
    <w:div w:id="616983072">
      <w:bodyDiv w:val="1"/>
      <w:marLeft w:val="0"/>
      <w:marRight w:val="0"/>
      <w:marTop w:val="0"/>
      <w:marBottom w:val="0"/>
      <w:divBdr>
        <w:top w:val="none" w:sz="0" w:space="0" w:color="auto"/>
        <w:left w:val="none" w:sz="0" w:space="0" w:color="auto"/>
        <w:bottom w:val="none" w:sz="0" w:space="0" w:color="auto"/>
        <w:right w:val="none" w:sz="0" w:space="0" w:color="auto"/>
      </w:divBdr>
    </w:div>
    <w:div w:id="680202758">
      <w:bodyDiv w:val="1"/>
      <w:marLeft w:val="0"/>
      <w:marRight w:val="0"/>
      <w:marTop w:val="0"/>
      <w:marBottom w:val="0"/>
      <w:divBdr>
        <w:top w:val="none" w:sz="0" w:space="0" w:color="auto"/>
        <w:left w:val="none" w:sz="0" w:space="0" w:color="auto"/>
        <w:bottom w:val="none" w:sz="0" w:space="0" w:color="auto"/>
        <w:right w:val="none" w:sz="0" w:space="0" w:color="auto"/>
      </w:divBdr>
    </w:div>
    <w:div w:id="997346145">
      <w:bodyDiv w:val="1"/>
      <w:marLeft w:val="0"/>
      <w:marRight w:val="0"/>
      <w:marTop w:val="0"/>
      <w:marBottom w:val="0"/>
      <w:divBdr>
        <w:top w:val="none" w:sz="0" w:space="0" w:color="auto"/>
        <w:left w:val="none" w:sz="0" w:space="0" w:color="auto"/>
        <w:bottom w:val="none" w:sz="0" w:space="0" w:color="auto"/>
        <w:right w:val="none" w:sz="0" w:space="0" w:color="auto"/>
      </w:divBdr>
    </w:div>
    <w:div w:id="1011880136">
      <w:bodyDiv w:val="1"/>
      <w:marLeft w:val="0"/>
      <w:marRight w:val="0"/>
      <w:marTop w:val="0"/>
      <w:marBottom w:val="0"/>
      <w:divBdr>
        <w:top w:val="none" w:sz="0" w:space="0" w:color="auto"/>
        <w:left w:val="none" w:sz="0" w:space="0" w:color="auto"/>
        <w:bottom w:val="none" w:sz="0" w:space="0" w:color="auto"/>
        <w:right w:val="none" w:sz="0" w:space="0" w:color="auto"/>
      </w:divBdr>
    </w:div>
    <w:div w:id="1037463777">
      <w:bodyDiv w:val="1"/>
      <w:marLeft w:val="0"/>
      <w:marRight w:val="0"/>
      <w:marTop w:val="0"/>
      <w:marBottom w:val="0"/>
      <w:divBdr>
        <w:top w:val="none" w:sz="0" w:space="0" w:color="auto"/>
        <w:left w:val="none" w:sz="0" w:space="0" w:color="auto"/>
        <w:bottom w:val="none" w:sz="0" w:space="0" w:color="auto"/>
        <w:right w:val="none" w:sz="0" w:space="0" w:color="auto"/>
      </w:divBdr>
    </w:div>
    <w:div w:id="1239901588">
      <w:bodyDiv w:val="1"/>
      <w:marLeft w:val="0"/>
      <w:marRight w:val="0"/>
      <w:marTop w:val="0"/>
      <w:marBottom w:val="0"/>
      <w:divBdr>
        <w:top w:val="none" w:sz="0" w:space="0" w:color="auto"/>
        <w:left w:val="none" w:sz="0" w:space="0" w:color="auto"/>
        <w:bottom w:val="none" w:sz="0" w:space="0" w:color="auto"/>
        <w:right w:val="none" w:sz="0" w:space="0" w:color="auto"/>
      </w:divBdr>
    </w:div>
    <w:div w:id="1240408311">
      <w:bodyDiv w:val="1"/>
      <w:marLeft w:val="0"/>
      <w:marRight w:val="0"/>
      <w:marTop w:val="0"/>
      <w:marBottom w:val="0"/>
      <w:divBdr>
        <w:top w:val="none" w:sz="0" w:space="0" w:color="auto"/>
        <w:left w:val="none" w:sz="0" w:space="0" w:color="auto"/>
        <w:bottom w:val="none" w:sz="0" w:space="0" w:color="auto"/>
        <w:right w:val="none" w:sz="0" w:space="0" w:color="auto"/>
      </w:divBdr>
    </w:div>
    <w:div w:id="1254633595">
      <w:bodyDiv w:val="1"/>
      <w:marLeft w:val="0"/>
      <w:marRight w:val="0"/>
      <w:marTop w:val="0"/>
      <w:marBottom w:val="0"/>
      <w:divBdr>
        <w:top w:val="none" w:sz="0" w:space="0" w:color="auto"/>
        <w:left w:val="none" w:sz="0" w:space="0" w:color="auto"/>
        <w:bottom w:val="none" w:sz="0" w:space="0" w:color="auto"/>
        <w:right w:val="none" w:sz="0" w:space="0" w:color="auto"/>
      </w:divBdr>
    </w:div>
    <w:div w:id="1264262527">
      <w:bodyDiv w:val="1"/>
      <w:marLeft w:val="0"/>
      <w:marRight w:val="0"/>
      <w:marTop w:val="0"/>
      <w:marBottom w:val="0"/>
      <w:divBdr>
        <w:top w:val="none" w:sz="0" w:space="0" w:color="auto"/>
        <w:left w:val="none" w:sz="0" w:space="0" w:color="auto"/>
        <w:bottom w:val="none" w:sz="0" w:space="0" w:color="auto"/>
        <w:right w:val="none" w:sz="0" w:space="0" w:color="auto"/>
      </w:divBdr>
    </w:div>
    <w:div w:id="1304309468">
      <w:bodyDiv w:val="1"/>
      <w:marLeft w:val="0"/>
      <w:marRight w:val="0"/>
      <w:marTop w:val="0"/>
      <w:marBottom w:val="0"/>
      <w:divBdr>
        <w:top w:val="none" w:sz="0" w:space="0" w:color="auto"/>
        <w:left w:val="none" w:sz="0" w:space="0" w:color="auto"/>
        <w:bottom w:val="none" w:sz="0" w:space="0" w:color="auto"/>
        <w:right w:val="none" w:sz="0" w:space="0" w:color="auto"/>
      </w:divBdr>
    </w:div>
    <w:div w:id="1526480666">
      <w:bodyDiv w:val="1"/>
      <w:marLeft w:val="0"/>
      <w:marRight w:val="0"/>
      <w:marTop w:val="0"/>
      <w:marBottom w:val="0"/>
      <w:divBdr>
        <w:top w:val="none" w:sz="0" w:space="0" w:color="auto"/>
        <w:left w:val="none" w:sz="0" w:space="0" w:color="auto"/>
        <w:bottom w:val="none" w:sz="0" w:space="0" w:color="auto"/>
        <w:right w:val="none" w:sz="0" w:space="0" w:color="auto"/>
      </w:divBdr>
    </w:div>
    <w:div w:id="1611429973">
      <w:bodyDiv w:val="1"/>
      <w:marLeft w:val="0"/>
      <w:marRight w:val="0"/>
      <w:marTop w:val="0"/>
      <w:marBottom w:val="0"/>
      <w:divBdr>
        <w:top w:val="none" w:sz="0" w:space="0" w:color="auto"/>
        <w:left w:val="none" w:sz="0" w:space="0" w:color="auto"/>
        <w:bottom w:val="none" w:sz="0" w:space="0" w:color="auto"/>
        <w:right w:val="none" w:sz="0" w:space="0" w:color="auto"/>
      </w:divBdr>
    </w:div>
    <w:div w:id="1687512521">
      <w:bodyDiv w:val="1"/>
      <w:marLeft w:val="0"/>
      <w:marRight w:val="0"/>
      <w:marTop w:val="0"/>
      <w:marBottom w:val="0"/>
      <w:divBdr>
        <w:top w:val="none" w:sz="0" w:space="0" w:color="auto"/>
        <w:left w:val="none" w:sz="0" w:space="0" w:color="auto"/>
        <w:bottom w:val="none" w:sz="0" w:space="0" w:color="auto"/>
        <w:right w:val="none" w:sz="0" w:space="0" w:color="auto"/>
      </w:divBdr>
    </w:div>
    <w:div w:id="1795369000">
      <w:bodyDiv w:val="1"/>
      <w:marLeft w:val="0"/>
      <w:marRight w:val="0"/>
      <w:marTop w:val="0"/>
      <w:marBottom w:val="0"/>
      <w:divBdr>
        <w:top w:val="none" w:sz="0" w:space="0" w:color="auto"/>
        <w:left w:val="none" w:sz="0" w:space="0" w:color="auto"/>
        <w:bottom w:val="none" w:sz="0" w:space="0" w:color="auto"/>
        <w:right w:val="none" w:sz="0" w:space="0" w:color="auto"/>
      </w:divBdr>
    </w:div>
    <w:div w:id="1826429836">
      <w:bodyDiv w:val="1"/>
      <w:marLeft w:val="0"/>
      <w:marRight w:val="0"/>
      <w:marTop w:val="0"/>
      <w:marBottom w:val="0"/>
      <w:divBdr>
        <w:top w:val="none" w:sz="0" w:space="0" w:color="auto"/>
        <w:left w:val="none" w:sz="0" w:space="0" w:color="auto"/>
        <w:bottom w:val="none" w:sz="0" w:space="0" w:color="auto"/>
        <w:right w:val="none" w:sz="0" w:space="0" w:color="auto"/>
      </w:divBdr>
    </w:div>
    <w:div w:id="1833987099">
      <w:bodyDiv w:val="1"/>
      <w:marLeft w:val="0"/>
      <w:marRight w:val="0"/>
      <w:marTop w:val="0"/>
      <w:marBottom w:val="0"/>
      <w:divBdr>
        <w:top w:val="none" w:sz="0" w:space="0" w:color="auto"/>
        <w:left w:val="none" w:sz="0" w:space="0" w:color="auto"/>
        <w:bottom w:val="none" w:sz="0" w:space="0" w:color="auto"/>
        <w:right w:val="none" w:sz="0" w:space="0" w:color="auto"/>
      </w:divBdr>
    </w:div>
    <w:div w:id="1858737232">
      <w:bodyDiv w:val="1"/>
      <w:marLeft w:val="0"/>
      <w:marRight w:val="0"/>
      <w:marTop w:val="0"/>
      <w:marBottom w:val="0"/>
      <w:divBdr>
        <w:top w:val="none" w:sz="0" w:space="0" w:color="auto"/>
        <w:left w:val="none" w:sz="0" w:space="0" w:color="auto"/>
        <w:bottom w:val="none" w:sz="0" w:space="0" w:color="auto"/>
        <w:right w:val="none" w:sz="0" w:space="0" w:color="auto"/>
      </w:divBdr>
    </w:div>
    <w:div w:id="1874659214">
      <w:bodyDiv w:val="1"/>
      <w:marLeft w:val="0"/>
      <w:marRight w:val="0"/>
      <w:marTop w:val="0"/>
      <w:marBottom w:val="0"/>
      <w:divBdr>
        <w:top w:val="none" w:sz="0" w:space="0" w:color="auto"/>
        <w:left w:val="none" w:sz="0" w:space="0" w:color="auto"/>
        <w:bottom w:val="none" w:sz="0" w:space="0" w:color="auto"/>
        <w:right w:val="none" w:sz="0" w:space="0" w:color="auto"/>
      </w:divBdr>
    </w:div>
    <w:div w:id="1883900538">
      <w:bodyDiv w:val="1"/>
      <w:marLeft w:val="0"/>
      <w:marRight w:val="0"/>
      <w:marTop w:val="0"/>
      <w:marBottom w:val="0"/>
      <w:divBdr>
        <w:top w:val="none" w:sz="0" w:space="0" w:color="auto"/>
        <w:left w:val="none" w:sz="0" w:space="0" w:color="auto"/>
        <w:bottom w:val="none" w:sz="0" w:space="0" w:color="auto"/>
        <w:right w:val="none" w:sz="0" w:space="0" w:color="auto"/>
      </w:divBdr>
    </w:div>
    <w:div w:id="1899322090">
      <w:bodyDiv w:val="1"/>
      <w:marLeft w:val="0"/>
      <w:marRight w:val="0"/>
      <w:marTop w:val="0"/>
      <w:marBottom w:val="0"/>
      <w:divBdr>
        <w:top w:val="none" w:sz="0" w:space="0" w:color="auto"/>
        <w:left w:val="none" w:sz="0" w:space="0" w:color="auto"/>
        <w:bottom w:val="none" w:sz="0" w:space="0" w:color="auto"/>
        <w:right w:val="none" w:sz="0" w:space="0" w:color="auto"/>
      </w:divBdr>
    </w:div>
    <w:div w:id="1934894195">
      <w:bodyDiv w:val="1"/>
      <w:marLeft w:val="0"/>
      <w:marRight w:val="0"/>
      <w:marTop w:val="0"/>
      <w:marBottom w:val="0"/>
      <w:divBdr>
        <w:top w:val="none" w:sz="0" w:space="0" w:color="auto"/>
        <w:left w:val="none" w:sz="0" w:space="0" w:color="auto"/>
        <w:bottom w:val="none" w:sz="0" w:space="0" w:color="auto"/>
        <w:right w:val="none" w:sz="0" w:space="0" w:color="auto"/>
      </w:divBdr>
    </w:div>
    <w:div w:id="1959220183">
      <w:bodyDiv w:val="1"/>
      <w:marLeft w:val="0"/>
      <w:marRight w:val="0"/>
      <w:marTop w:val="0"/>
      <w:marBottom w:val="0"/>
      <w:divBdr>
        <w:top w:val="none" w:sz="0" w:space="0" w:color="auto"/>
        <w:left w:val="none" w:sz="0" w:space="0" w:color="auto"/>
        <w:bottom w:val="none" w:sz="0" w:space="0" w:color="auto"/>
        <w:right w:val="none" w:sz="0" w:space="0" w:color="auto"/>
      </w:divBdr>
    </w:div>
    <w:div w:id="197370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po-wupbialystok.praca.gov.pl/documents/3027427/a8dc1276-545b-4768-b60a-dc3481a60bc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rpo-wupbialystok.praca.gov.pl/documents/3027427/a8dc1276-545b-4768-b60a-dc3481a60bcb"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slugirozwojowe.parp.gov.pl/wyszukiwarka/porownywar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69c8f17-ad9a-44cc-8ffe-60c30dc156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3C387E8D9122D47B6582BAE94147FDF" ma:contentTypeVersion="9" ma:contentTypeDescription="Utwórz nowy dokument." ma:contentTypeScope="" ma:versionID="39dc1112f61b7431d5736cb0014fbc02">
  <xsd:schema xmlns:xsd="http://www.w3.org/2001/XMLSchema" xmlns:xs="http://www.w3.org/2001/XMLSchema" xmlns:p="http://schemas.microsoft.com/office/2006/metadata/properties" xmlns:ns3="d69c8f17-ad9a-44cc-8ffe-60c30dc15685" xmlns:ns4="9ee9f738-1d4f-4cde-b967-0b743f2c972c" targetNamespace="http://schemas.microsoft.com/office/2006/metadata/properties" ma:root="true" ma:fieldsID="a5afb0ab717092d4c97ba66c636dfdb7" ns3:_="" ns4:_="">
    <xsd:import namespace="d69c8f17-ad9a-44cc-8ffe-60c30dc15685"/>
    <xsd:import namespace="9ee9f738-1d4f-4cde-b967-0b743f2c972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c8f17-ad9a-44cc-8ffe-60c30dc15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9f738-1d4f-4cde-b967-0b743f2c972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CD733-999D-4D4E-A95E-2E7D28E6E91D}">
  <ds:schemaRefs>
    <ds:schemaRef ds:uri="http://schemas.microsoft.com/sharepoint/v3/contenttype/forms"/>
  </ds:schemaRefs>
</ds:datastoreItem>
</file>

<file path=customXml/itemProps2.xml><?xml version="1.0" encoding="utf-8"?>
<ds:datastoreItem xmlns:ds="http://schemas.openxmlformats.org/officeDocument/2006/customXml" ds:itemID="{7650A633-202A-4B20-BE81-7A5957034B9C}">
  <ds:schemaRefs>
    <ds:schemaRef ds:uri="http://schemas.microsoft.com/office/2006/metadata/properties"/>
    <ds:schemaRef ds:uri="http://schemas.microsoft.com/office/infopath/2007/PartnerControls"/>
    <ds:schemaRef ds:uri="d69c8f17-ad9a-44cc-8ffe-60c30dc15685"/>
  </ds:schemaRefs>
</ds:datastoreItem>
</file>

<file path=customXml/itemProps3.xml><?xml version="1.0" encoding="utf-8"?>
<ds:datastoreItem xmlns:ds="http://schemas.openxmlformats.org/officeDocument/2006/customXml" ds:itemID="{8E350044-FD03-4A51-B6CF-C113AFD9F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c8f17-ad9a-44cc-8ffe-60c30dc15685"/>
    <ds:schemaRef ds:uri="9ee9f738-1d4f-4cde-b967-0b743f2c9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EE04B1-276D-4D57-A0BF-F14C3438A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3945</Words>
  <Characters>23671</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Rożniata</dc:creator>
  <cp:keywords/>
  <dc:description/>
  <cp:lastModifiedBy>Kowalska Ewelina</cp:lastModifiedBy>
  <cp:revision>3</cp:revision>
  <cp:lastPrinted>2024-06-18T08:49:00Z</cp:lastPrinted>
  <dcterms:created xsi:type="dcterms:W3CDTF">2024-07-03T07:48:00Z</dcterms:created>
  <dcterms:modified xsi:type="dcterms:W3CDTF">2024-07-03T07:50:00Z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0x01010053C387E8D9122D47B6582BAE94147FDF</vt:lpwstr>
  </property>
  <property fmtid="{D5CDD505-2E9C-101B-9397-08002B2CF9AE}" pid="3" name="MFCATEGORY">
    <vt:lpwstr>InformacjePrzeznaczoneWylacznieDoUzytkuWewnetrznego</vt:lpwstr>
  </property>
  <property fmtid="{D5CDD505-2E9C-101B-9397-08002B2CF9AE}" pid="4" name="MFClassifiedBy">
    <vt:lpwstr>UxC4dwLulzfINJ8nQH+xvX5LNGipWa4BRSZhPgxsCvk4nSPedeK1D0BJ+2ayIiT/GZ0cAQkbFfxe0hw1/tneag==</vt:lpwstr>
  </property>
  <property fmtid="{D5CDD505-2E9C-101B-9397-08002B2CF9AE}" pid="5" name="MFClassificationDate">
    <vt:lpwstr>2023-09-07T13:55:50.9056402+02:00</vt:lpwstr>
  </property>
  <property fmtid="{D5CDD505-2E9C-101B-9397-08002B2CF9AE}" pid="6" name="MFClassifiedBySID">
    <vt:lpwstr>UxC4dwLulzfINJ8nQH+xvX5LNGipWa4BRSZhPgxsCvm42mrIC/DSDv0ggS+FjUN/2v1BBotkLlY5aAiEhoi6ueyLx+kr7y/rB/Ueev9b4QTnsXpPU6xwa+Mb09Si0z0p</vt:lpwstr>
  </property>
  <property fmtid="{D5CDD505-2E9C-101B-9397-08002B2CF9AE}" pid="7" name="MFGRNItemId">
    <vt:lpwstr>GRN-bc589fa8-7464-4cd1-be76-a24cc27b3f9e</vt:lpwstr>
  </property>
  <property fmtid="{D5CDD505-2E9C-101B-9397-08002B2CF9AE}" pid="8" name="MFHash">
    <vt:lpwstr>6oeGyL7AI8+FdFPl89UNF+G6hszvgb7xnrtOV+Pi9g0=</vt:lpwstr>
  </property>
  <property fmtid="{D5CDD505-2E9C-101B-9397-08002B2CF9AE}" pid="9" name="MFVisualMarkingsSettings">
    <vt:lpwstr>HeaderAlignment=1;FooterAlignment=1</vt:lpwstr>
  </property>
  <property fmtid="{D5CDD505-2E9C-101B-9397-08002B2CF9AE}" pid="10" name="DLPManualFileClassification">
    <vt:lpwstr>{5fdfc941-3fcf-4a5b-87be-4848800d39d0}</vt:lpwstr>
  </property>
  <property fmtid="{D5CDD505-2E9C-101B-9397-08002B2CF9AE}" pid="11" name="MFRefresh">
    <vt:lpwstr>False</vt:lpwstr>
  </property>
</Properties>
</file>