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14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77"/>
        <w:gridCol w:w="3236"/>
        <w:gridCol w:w="1624"/>
      </w:tblGrid>
      <w:tr w:rsidR="005421CE" w:rsidRPr="005421CE" w14:paraId="04AD6049" w14:textId="77777777" w:rsidTr="006B1BA9">
        <w:trPr>
          <w:trHeight w:val="434"/>
        </w:trPr>
        <w:tc>
          <w:tcPr>
            <w:tcW w:w="14657" w:type="dxa"/>
            <w:gridSpan w:val="4"/>
            <w:shd w:val="clear" w:color="auto" w:fill="5F497A"/>
            <w:vAlign w:val="center"/>
          </w:tcPr>
          <w:p w14:paraId="5FF26F6A" w14:textId="77777777" w:rsidR="005421CE" w:rsidRPr="005421CE" w:rsidRDefault="005421CE" w:rsidP="005421CE">
            <w:pPr>
              <w:shd w:val="clear" w:color="auto" w:fill="7030A0"/>
              <w:spacing w:before="120" w:after="120" w:line="276" w:lineRule="auto"/>
              <w:ind w:left="-851" w:right="-284"/>
              <w:jc w:val="center"/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eastAsia="pl-PL"/>
              </w:rPr>
            </w:pPr>
            <w:r w:rsidRPr="005421CE"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eastAsia="pl-PL"/>
              </w:rPr>
              <w:t>Kryteria wyboru projektów</w:t>
            </w:r>
          </w:p>
          <w:p w14:paraId="72A90FB8" w14:textId="77777777" w:rsidR="005421CE" w:rsidRPr="005421CE" w:rsidRDefault="005421CE" w:rsidP="005421CE">
            <w:pPr>
              <w:shd w:val="clear" w:color="auto" w:fill="7030A0"/>
              <w:spacing w:before="120" w:after="120" w:line="276" w:lineRule="auto"/>
              <w:ind w:left="-851" w:right="-284"/>
              <w:jc w:val="center"/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eastAsia="pl-PL"/>
              </w:rPr>
            </w:pPr>
            <w:r w:rsidRPr="005421CE"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eastAsia="pl-PL"/>
              </w:rPr>
              <w:t>Działanie 3.1. Zrównoważona mobilność miejska</w:t>
            </w:r>
          </w:p>
          <w:p w14:paraId="5ACCFA5B" w14:textId="77777777" w:rsidR="005421CE" w:rsidRPr="005421CE" w:rsidRDefault="005421CE" w:rsidP="005421CE">
            <w:pPr>
              <w:shd w:val="clear" w:color="auto" w:fill="7030A0"/>
              <w:spacing w:before="120" w:after="120" w:line="276" w:lineRule="auto"/>
              <w:ind w:left="-851" w:right="-284"/>
              <w:jc w:val="center"/>
              <w:rPr>
                <w:rFonts w:ascii="Calibri" w:eastAsia="Calibri" w:hAnsi="Calibri" w:cs="Times New Roman"/>
                <w:i/>
              </w:rPr>
            </w:pPr>
            <w:r w:rsidRPr="005421CE"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eastAsia="pl-PL"/>
              </w:rPr>
              <w:t>Fundusze Europejskie dla Polski Wschodniej 2021-2027</w:t>
            </w:r>
          </w:p>
        </w:tc>
      </w:tr>
      <w:tr w:rsidR="005421CE" w:rsidRPr="005421CE" w14:paraId="40914418" w14:textId="77777777" w:rsidTr="006B1BA9">
        <w:trPr>
          <w:trHeight w:val="421"/>
        </w:trPr>
        <w:tc>
          <w:tcPr>
            <w:tcW w:w="1465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53813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</w:p>
        </w:tc>
      </w:tr>
      <w:tr w:rsidR="005421CE" w:rsidRPr="005421CE" w14:paraId="06B55670" w14:textId="77777777" w:rsidTr="006B1BA9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EE252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13701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BF8A3B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Liczba punktów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26C08A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Minimum punktowe</w:t>
            </w:r>
          </w:p>
        </w:tc>
      </w:tr>
      <w:tr w:rsidR="005421CE" w:rsidRPr="005421CE" w14:paraId="49EDB740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5C1B42B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9077" w:type="dxa"/>
            <w:shd w:val="clear" w:color="auto" w:fill="FFFFFF"/>
          </w:tcPr>
          <w:p w14:paraId="2329B94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Kwalifikowalność Wnioskodawcy</w:t>
            </w:r>
          </w:p>
        </w:tc>
        <w:tc>
          <w:tcPr>
            <w:tcW w:w="3236" w:type="dxa"/>
            <w:shd w:val="clear" w:color="auto" w:fill="FFFFFF"/>
          </w:tcPr>
          <w:p w14:paraId="12B5A2C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</w:tcPr>
          <w:p w14:paraId="5D315DF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5421CE" w:rsidRPr="005421CE" w14:paraId="0EFC9F00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F9BDDC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/>
          </w:tcPr>
          <w:p w14:paraId="5997F8B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Realizacja projektu mieści się w ramach czasowych działania</w:t>
            </w:r>
          </w:p>
        </w:tc>
        <w:tc>
          <w:tcPr>
            <w:tcW w:w="3236" w:type="dxa"/>
            <w:shd w:val="clear" w:color="auto" w:fill="FFFFFF"/>
          </w:tcPr>
          <w:p w14:paraId="362DE4D1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</w:tcPr>
          <w:p w14:paraId="19AFF95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5421CE" w:rsidRPr="005421CE" w14:paraId="65ADB51A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0C6C7F2C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395768FE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Kompleksowość projektu</w:t>
            </w:r>
          </w:p>
        </w:tc>
        <w:tc>
          <w:tcPr>
            <w:tcW w:w="3236" w:type="dxa"/>
            <w:shd w:val="clear" w:color="auto" w:fill="FFFFFF"/>
          </w:tcPr>
          <w:p w14:paraId="69639FF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</w:tcPr>
          <w:p w14:paraId="2DFD3381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5421CE" w:rsidRPr="005421CE" w14:paraId="01C34566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54098D1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D76CC1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Projekt został ujęty w instrumencie terytorialnym</w:t>
            </w:r>
          </w:p>
        </w:tc>
        <w:tc>
          <w:tcPr>
            <w:tcW w:w="3236" w:type="dxa"/>
            <w:shd w:val="clear" w:color="auto" w:fill="FFFFFF"/>
          </w:tcPr>
          <w:p w14:paraId="217FE67F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</w:tcPr>
          <w:p w14:paraId="42BA57B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</w:tr>
      <w:tr w:rsidR="005421CE" w:rsidRPr="005421CE" w14:paraId="0812E20E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3B4A059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21C539CB" w14:textId="0A5ED3DE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Zgodność Planu Zrównoważonej Mobilności Miejskiej (z ang. SUMP) z Komunikatem 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Komisji Europejskiej do Parlamentu Europejskiego, Rady Europejskiego Komitetu Ekonomiczno-Społecznego i Komitetu Regionów z 17.12.2013</w:t>
            </w:r>
            <w:r w:rsidR="00B45E23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„Wspólne dążenie do osiągnięcia konkurencyjnej i 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zasobooszczędnej</w:t>
            </w:r>
            <w:proofErr w:type="spellEnd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mobilności” COM (2013) 913 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final</w:t>
            </w:r>
            <w:proofErr w:type="spellEnd"/>
          </w:p>
        </w:tc>
        <w:tc>
          <w:tcPr>
            <w:tcW w:w="3236" w:type="dxa"/>
            <w:shd w:val="clear" w:color="auto" w:fill="FFFFFF"/>
          </w:tcPr>
          <w:p w14:paraId="2646D34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0 albo 1 </w:t>
            </w:r>
          </w:p>
        </w:tc>
        <w:tc>
          <w:tcPr>
            <w:tcW w:w="1624" w:type="dxa"/>
            <w:shd w:val="clear" w:color="auto" w:fill="FFFFFF"/>
          </w:tcPr>
          <w:p w14:paraId="0623021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1 </w:t>
            </w:r>
          </w:p>
        </w:tc>
      </w:tr>
      <w:tr w:rsidR="005421CE" w:rsidRPr="005421CE" w14:paraId="46F16515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5776D61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4FF9071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Zgodność projektu z dokumentami z zakresu planowania mobilności miejskiej</w:t>
            </w:r>
          </w:p>
        </w:tc>
        <w:tc>
          <w:tcPr>
            <w:tcW w:w="3236" w:type="dxa"/>
            <w:shd w:val="clear" w:color="auto" w:fill="FFFFFF"/>
          </w:tcPr>
          <w:p w14:paraId="5B54E3F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</w:tcPr>
          <w:p w14:paraId="62BB4FC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0F5EB067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35BFA8E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14BF6A5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Zgodność projektu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z właściwym Programem ochrony powietrza oraz Planem na rzecz zrównoważonej energii i klimatu (z ang. SECAP)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0E5EEC24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0 albo 1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A95C976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1 </w:t>
            </w:r>
          </w:p>
        </w:tc>
      </w:tr>
      <w:tr w:rsidR="005421CE" w:rsidRPr="005421CE" w14:paraId="3EEF1341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3EA20E8C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A14F45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nie został zakończony przed złożeniem wniosku o dofinansowanie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40EF760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8F565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458A9CCF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4C2766F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34667A6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Kwalifikowalność wydatków w projekcie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F0337B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97DAE0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029E9344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71AE8F9B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50C8286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Trwałość projektu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9C35522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A5BF0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62B48AEA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188446C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259B5D0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Poprawność analizy finansowej i ekonomicznej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44C3972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449FD6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4EF8997B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4342195C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59D3BCE8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Poprawność wskaźników projektu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B02EBFF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A2455B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2274D607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3224DB4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4AFCF33B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ma pozytywny wpływ na zasadę równości szans i niedyskryminacji, w tym dostępności dla osób z niepełnosprawnościami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50C005D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876D923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476F629B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77439AD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779905B2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jest zgodny z Kartą praw podstawowych Unii Europejskiej i Konwencją o prawach osób niepełnosprawnych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447C6FC8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D917B5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48D173F7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1726A4DC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408F498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jest zgodny z zasadą równości kobiet i mężczyzn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4040C44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577933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2312E25B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265AADC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7FC9D6CD" w14:textId="7C32E6F6" w:rsidR="005421CE" w:rsidRPr="007A593F" w:rsidRDefault="00163E9F" w:rsidP="007A593F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Projekt został poddany ocenie oddziaływania na środowisko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D426E0E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0 albo 1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8850B64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1 </w:t>
            </w:r>
          </w:p>
        </w:tc>
      </w:tr>
      <w:tr w:rsidR="005421CE" w:rsidRPr="005421CE" w14:paraId="45829896" w14:textId="77777777" w:rsidTr="006B1BA9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6828D9C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7F5742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Zdolność projektu do adaptacji do zmian klimatu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38B05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390507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007A4830" w14:textId="77777777" w:rsidTr="006B1BA9">
        <w:trPr>
          <w:trHeight w:val="42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3E24916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EBE1C2" w14:textId="654587A5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jest zgodny z zasadą zrównoważonego rozwoju oraz zasadą „nie czyń poważnych szkód” (</w:t>
            </w:r>
            <w:r w:rsidR="00B45E23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z ang. </w:t>
            </w:r>
            <w:r w:rsidR="00B45E23">
              <w:rPr>
                <w:rFonts w:ascii="Calibri" w:eastAsia="Calibri" w:hAnsi="Calibri" w:cs="Calibri"/>
                <w:sz w:val="24"/>
                <w:szCs w:val="24"/>
              </w:rPr>
              <w:t xml:space="preserve">DNSH –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Do No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Significant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Harm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409D2D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DAAF0D" w14:textId="77777777" w:rsidR="005421CE" w:rsidRPr="005421CE" w:rsidDel="002A0C9A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38B4BFB6" w14:textId="77777777" w:rsidTr="006B1BA9">
        <w:trPr>
          <w:trHeight w:val="421"/>
        </w:trPr>
        <w:tc>
          <w:tcPr>
            <w:tcW w:w="720" w:type="dxa"/>
            <w:tcBorders>
              <w:bottom w:val="single" w:sz="12" w:space="0" w:color="auto"/>
            </w:tcBorders>
            <w:shd w:val="clear" w:color="auto" w:fill="FFFFFF"/>
          </w:tcPr>
          <w:p w14:paraId="6E30115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907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515D70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Kompletność i spójność informacji przedstawionych w dokumentacji projektowej</w:t>
            </w:r>
          </w:p>
        </w:tc>
        <w:tc>
          <w:tcPr>
            <w:tcW w:w="323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1E7E5C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1</w:t>
            </w:r>
          </w:p>
        </w:tc>
        <w:tc>
          <w:tcPr>
            <w:tcW w:w="16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8665416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1</w:t>
            </w:r>
          </w:p>
        </w:tc>
      </w:tr>
      <w:tr w:rsidR="005421CE" w:rsidRPr="005421CE" w14:paraId="21BFEBE1" w14:textId="77777777" w:rsidTr="006B1BA9">
        <w:trPr>
          <w:trHeight w:val="421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2B7C4B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4BEE2F" w14:textId="69F012D9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Zgodność projektu z ideą inicjatywy Nowy Europejski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Bauhaus</w:t>
            </w:r>
            <w:proofErr w:type="spellEnd"/>
            <w:r w:rsidR="009E1817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 (z ang. NEB)</w:t>
            </w:r>
          </w:p>
        </w:tc>
        <w:tc>
          <w:tcPr>
            <w:tcW w:w="323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FD6FF8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8BD505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6BFBA7FE" w14:textId="77777777" w:rsidTr="006B1BA9">
        <w:trPr>
          <w:trHeight w:val="421"/>
        </w:trPr>
        <w:tc>
          <w:tcPr>
            <w:tcW w:w="720" w:type="dxa"/>
            <w:shd w:val="clear" w:color="auto" w:fill="FFFFFF"/>
            <w:vAlign w:val="center"/>
          </w:tcPr>
          <w:p w14:paraId="5AC8DB26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68C146C" w14:textId="5D28033E" w:rsidR="005421CE" w:rsidRPr="005421CE" w:rsidRDefault="00A74F59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74F59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</w:t>
            </w:r>
            <w:r w:rsidR="00602099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Uwzględnienie </w:t>
            </w:r>
            <w:r w:rsidRPr="00A74F59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infrastruktury odnawialnych źródeł energii (OZE) w projekcie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6F8685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2, albo 4, albo 6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C7F480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76DFA811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2DEFE3A8" w14:textId="4BF2E050" w:rsidR="005421CE" w:rsidRPr="005421CE" w:rsidRDefault="006572DF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6FD65E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Uwzględnienie rozwiązań dotyczących integracji usług przewozowych na obszarze MOF w projekcie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223ACF12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4, albo 8, albo 12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26A6F4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4B086A" w:rsidRPr="005421CE" w14:paraId="3CED5A16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721E9739" w14:textId="0BB7462F" w:rsidR="004B086A" w:rsidRPr="005421CE" w:rsidRDefault="004B086A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</w:t>
            </w:r>
            <w:r w:rsidR="006572DF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1A9C47F1" w14:textId="22B1C86E" w:rsidR="004B086A" w:rsidRPr="005421CE" w:rsidRDefault="004B086A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Uwzględnienie koncepcji „Mobilność jako usługa” (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z ang.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MaaS</w:t>
            </w:r>
            <w:proofErr w:type="spellEnd"/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) w projekcie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880A11E" w14:textId="099E85AB" w:rsidR="004B086A" w:rsidRPr="005421CE" w:rsidRDefault="004B086A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4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B2016B" w14:textId="13DFE07F" w:rsidR="004B086A" w:rsidRPr="005421CE" w:rsidRDefault="004B086A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56A5909C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7D3F94AD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B379E7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Objęcie świadczoną usługą przewozów pasażerskich obszarów dotychczas nieobsługiwanych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FC7318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4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7C47411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5BD6AA8C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28A981BF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09E3446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Realizacja projektu na obszarze, na którym istnieje wydzielona strefa płatnego parkowania lub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w ramach projektu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planowane jest utworzenie strefy płatnego parkowania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EC39F8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CBA06F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106E40" w:rsidRPr="005421CE" w14:paraId="30D99975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0F1E47DA" w14:textId="1B30CE2D" w:rsidR="00106E40" w:rsidRPr="005421CE" w:rsidRDefault="00106E40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17B73A75" w14:textId="45E84190" w:rsidR="00106E40" w:rsidRPr="005421CE" w:rsidRDefault="00106E40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Konsultacje społeczne </w:t>
            </w:r>
            <w:r w:rsidR="00782D33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w celu zwiększenia </w:t>
            </w: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dostępności</w:t>
            </w:r>
            <w:r w:rsidR="00782D33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</w:t>
            </w:r>
            <w:r w:rsidR="005D4C55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transportu publicznego i</w:t>
            </w:r>
            <w:r w:rsidR="00430554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="005D4C55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mobilności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6B4A602F" w14:textId="0A8BDFE3" w:rsidR="00106E40" w:rsidRPr="005421CE" w:rsidRDefault="00782D33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F58E86E" w14:textId="3D7D5419" w:rsidR="00106E40" w:rsidRPr="005421CE" w:rsidRDefault="00106E40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18F78E00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5559B019" w14:textId="7A2815DD" w:rsidR="005421CE" w:rsidRPr="005421CE" w:rsidRDefault="00106E40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6CC596DB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Przygotowanie projektu do realizacji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3393F5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2, albo 5, albo 10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64039D5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0EEBE54D" w14:textId="77777777" w:rsidTr="006B1BA9">
        <w:trPr>
          <w:trHeight w:val="421"/>
        </w:trPr>
        <w:tc>
          <w:tcPr>
            <w:tcW w:w="720" w:type="dxa"/>
            <w:shd w:val="clear" w:color="auto" w:fill="FFFFFF"/>
          </w:tcPr>
          <w:p w14:paraId="6C0F65F2" w14:textId="6EDBB658" w:rsidR="005421CE" w:rsidRPr="005421CE" w:rsidRDefault="00106E40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9077" w:type="dxa"/>
            <w:shd w:val="clear" w:color="auto" w:fill="FFFFFF"/>
            <w:vAlign w:val="center"/>
          </w:tcPr>
          <w:p w14:paraId="25C6EDDA" w14:textId="392406EB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Preferencj</w:t>
            </w:r>
            <w:r w:rsidR="000673EA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e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dla miast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poniżej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100 tys.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mieszkańców,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które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osiadają Plan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Zrównoważonej Mobilności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Miejskiej (</w:t>
            </w:r>
            <w:r w:rsidR="000673EA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SUMP)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B9F7E43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 albo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BBC7C7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0</w:t>
            </w:r>
          </w:p>
        </w:tc>
      </w:tr>
      <w:tr w:rsidR="005421CE" w:rsidRPr="005421CE" w14:paraId="45B01721" w14:textId="77777777" w:rsidTr="00DA4245">
        <w:trPr>
          <w:trHeight w:val="421"/>
        </w:trPr>
        <w:tc>
          <w:tcPr>
            <w:tcW w:w="14657" w:type="dxa"/>
            <w:gridSpan w:val="4"/>
            <w:shd w:val="clear" w:color="auto" w:fill="FFFFFF"/>
            <w:vAlign w:val="center"/>
          </w:tcPr>
          <w:p w14:paraId="0AC883CE" w14:textId="77777777" w:rsidR="005421CE" w:rsidRPr="005421CE" w:rsidRDefault="005421CE" w:rsidP="005421CE">
            <w:pPr>
              <w:numPr>
                <w:ilvl w:val="0"/>
                <w:numId w:val="13"/>
              </w:num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 zakresie każdego z kryteriów wymienionych w pkt 1-19, w celu uzyskania pozytywnej oceny, wymagane jest uzyskanie minimum 1 pkt (punkty te nie wliczają się do ogólnej punktacji).</w:t>
            </w:r>
          </w:p>
          <w:p w14:paraId="49753E97" w14:textId="7DEF3FEE" w:rsidR="005421CE" w:rsidRPr="005421CE" w:rsidRDefault="005421CE" w:rsidP="005421CE">
            <w:pPr>
              <w:numPr>
                <w:ilvl w:val="0"/>
                <w:numId w:val="13"/>
              </w:num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UWAGA: Kryterium nr 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28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nie dotyczy projektów wybieranych w sposób niekonkurencyjny.</w:t>
            </w:r>
          </w:p>
          <w:p w14:paraId="31EF0F02" w14:textId="3AD5E5B2" w:rsidR="005421CE" w:rsidRPr="005421CE" w:rsidRDefault="005421CE" w:rsidP="005421CE">
            <w:pPr>
              <w:numPr>
                <w:ilvl w:val="0"/>
                <w:numId w:val="13"/>
              </w:num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W zakresie kryteriów premiujących, wymienionych w pkt. 20-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28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projekt może uzyskać maksymalnie 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44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punkty w odniesieniu do projektów wybieranych w sposób konkurencyjny</w:t>
            </w:r>
            <w:r w:rsidR="002150EA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oraz 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42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punktów dla projektów wybieranych w sposób niekonkurencyjny. Punktacja ta posłuży do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ustalenia kolejności projektów (ranking), począwszy od projektu, który uzyskał najwyższy wynik oceny – do projektu, który uzyskał najniższy wynik oceny. </w:t>
            </w:r>
          </w:p>
          <w:p w14:paraId="3B1F85A3" w14:textId="1FA1A9E5" w:rsidR="005421CE" w:rsidRPr="00FF2A39" w:rsidRDefault="005421CE" w:rsidP="00FF2A39">
            <w:pPr>
              <w:numPr>
                <w:ilvl w:val="0"/>
                <w:numId w:val="13"/>
              </w:num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F2A3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Wymagane jest uzyskanie minimum 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00FF2A39">
              <w:rPr>
                <w:rFonts w:ascii="Calibri" w:eastAsia="Calibri" w:hAnsi="Calibri" w:cs="Calibri"/>
                <w:sz w:val="24"/>
                <w:szCs w:val="24"/>
              </w:rPr>
              <w:t xml:space="preserve">% punktów (tj. 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236A44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F2A39">
              <w:rPr>
                <w:rFonts w:ascii="Calibri" w:eastAsia="Calibri" w:hAnsi="Calibri" w:cs="Calibri"/>
                <w:sz w:val="24"/>
                <w:szCs w:val="24"/>
              </w:rPr>
              <w:t xml:space="preserve">pkt. dla projektów wybieranych w sposób konkurencyjny  i 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236A44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 xml:space="preserve"> pkt</w:t>
            </w:r>
            <w:r w:rsidR="006A4233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FF2A39" w:rsidRPr="00FF2A39">
              <w:rPr>
                <w:rFonts w:ascii="Calibri" w:eastAsia="Calibri" w:hAnsi="Calibri" w:cs="Calibri"/>
                <w:sz w:val="24"/>
                <w:szCs w:val="24"/>
              </w:rPr>
              <w:t xml:space="preserve"> –</w:t>
            </w:r>
            <w:r w:rsidR="00FF2A39">
              <w:rPr>
                <w:rFonts w:ascii="Calibri" w:eastAsia="Calibri" w:hAnsi="Calibri" w:cs="Calibri"/>
                <w:sz w:val="24"/>
                <w:szCs w:val="24"/>
              </w:rPr>
              <w:t xml:space="preserve"> dla projektów wybieranych w sposób </w:t>
            </w:r>
            <w:r w:rsidRPr="00FF2A39">
              <w:rPr>
                <w:rFonts w:ascii="Calibri" w:eastAsia="Calibri" w:hAnsi="Calibri" w:cs="Calibri"/>
                <w:sz w:val="24"/>
                <w:szCs w:val="24"/>
              </w:rPr>
              <w:t>niekonkurencyjny) z</w:t>
            </w:r>
            <w:r w:rsidR="007A593F" w:rsidRPr="00FF2A39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FF2A39">
              <w:rPr>
                <w:rFonts w:ascii="Calibri" w:eastAsia="Calibri" w:hAnsi="Calibri" w:cs="Calibri"/>
                <w:sz w:val="24"/>
                <w:szCs w:val="24"/>
              </w:rPr>
              <w:t>wszystkich możliwych do osiągnięcia w ramach kryteriów premiujących.</w:t>
            </w:r>
          </w:p>
          <w:p w14:paraId="435683C0" w14:textId="3789D6B0" w:rsidR="005421CE" w:rsidRPr="005421CE" w:rsidRDefault="005421CE" w:rsidP="005421CE">
            <w:pPr>
              <w:numPr>
                <w:ilvl w:val="0"/>
                <w:numId w:val="13"/>
              </w:numPr>
              <w:spacing w:before="120"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Spośród kryteriów wymienionych w pkt. 20-</w:t>
            </w:r>
            <w:r w:rsidR="00C951EA">
              <w:rPr>
                <w:rFonts w:ascii="Calibri" w:eastAsia="Calibri" w:hAnsi="Calibri" w:cs="Calibri"/>
                <w:bCs/>
                <w:sz w:val="24"/>
                <w:szCs w:val="24"/>
              </w:rPr>
              <w:t>28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, wskazane zostały kryteria rozstrzygające dla sposobu konkurencyjnego wyboru projektów</w:t>
            </w:r>
            <w:r w:rsidR="00014C86">
              <w:rPr>
                <w:rFonts w:ascii="Calibri" w:eastAsia="Calibri" w:hAnsi="Calibri" w:cs="Calibri"/>
                <w:bCs/>
                <w:sz w:val="24"/>
                <w:szCs w:val="24"/>
              </w:rPr>
              <w:t>: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90925CE" w14:textId="488B4E82" w:rsidR="005421CE" w:rsidRPr="005421CE" w:rsidRDefault="00014C86" w:rsidP="00014C86">
            <w:pPr>
              <w:numPr>
                <w:ilvl w:val="0"/>
                <w:numId w:val="25"/>
              </w:numPr>
              <w:spacing w:before="120" w:after="0" w:line="276" w:lineRule="auto"/>
              <w:ind w:left="1022" w:hanging="283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</w:t>
            </w:r>
            <w:r w:rsidR="005421CE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przypadku, gdy w wyniku oceny więcej niż jeden projekt uzyska jednakową łączną liczbę punktów, wsparcie w pierwszej kolejności będzie przyznane projektowi, który otrzymał większą liczbę punktów w kryterium:</w:t>
            </w:r>
            <w:r w:rsidR="005421CE" w:rsidRPr="005421C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Przygotowanie projektu do realizacji</w:t>
            </w:r>
            <w:r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,</w:t>
            </w:r>
          </w:p>
          <w:p w14:paraId="1EFC2D80" w14:textId="4B9D2687" w:rsidR="005421CE" w:rsidRPr="005421CE" w:rsidRDefault="00014C86" w:rsidP="00014C86">
            <w:pPr>
              <w:numPr>
                <w:ilvl w:val="0"/>
                <w:numId w:val="25"/>
              </w:numPr>
              <w:spacing w:before="120" w:after="0" w:line="276" w:lineRule="auto"/>
              <w:ind w:left="1022" w:hanging="2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5421CE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przypadku, gdy w wyniku oceny więcej </w:t>
            </w:r>
            <w:r w:rsidR="005421CE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niż jeden projekt uzyska jednakową łączną liczbę punktów oraz jednakową liczbę punktów w kryterium</w:t>
            </w:r>
            <w:r w:rsidR="005421CE" w:rsidRPr="005421C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Przygotowanie projektu do realizacji</w:t>
            </w:r>
            <w:r w:rsidR="005421CE"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, wsparcie</w:t>
            </w:r>
            <w:r w:rsidR="005421CE" w:rsidRPr="005421C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r w:rsidR="005421CE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 pierwszej kolejności będzie przyznane projektowi, który otrzymał większą liczbę punktów w kryterium</w:t>
            </w:r>
            <w:r w:rsidR="005421CE"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</w:t>
            </w:r>
            <w:r w:rsidR="005421CE" w:rsidRPr="005421C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Uwzględnienie rozwiązań dot</w:t>
            </w:r>
            <w:r w:rsidR="00E35A1D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yczących</w:t>
            </w:r>
            <w:r w:rsidR="005421CE" w:rsidRPr="005421CE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 xml:space="preserve"> integracji usług przewozowych na obszarze MOF w projekcie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14:paraId="4B6A3CEC" w14:textId="711DE16B" w:rsidR="005421CE" w:rsidRPr="005421CE" w:rsidDel="002A0C9A" w:rsidRDefault="00014C86" w:rsidP="00014C86">
            <w:pPr>
              <w:numPr>
                <w:ilvl w:val="0"/>
                <w:numId w:val="25"/>
              </w:numPr>
              <w:spacing w:before="120" w:after="0" w:line="276" w:lineRule="auto"/>
              <w:ind w:left="1022" w:hanging="283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</w:t>
            </w:r>
            <w:r w:rsidR="005421CE" w:rsidRPr="005421CE">
              <w:rPr>
                <w:rFonts w:ascii="Calibri" w:eastAsia="Calibri" w:hAnsi="Calibri" w:cs="Times New Roman"/>
                <w:sz w:val="24"/>
                <w:szCs w:val="24"/>
              </w:rPr>
              <w:t xml:space="preserve"> przypadku projektów, które uzyskały tę samą liczbę punktów po zweryfikowaniu kryteriów rozstrzygających, a dostępne środki uniemożliwiają przyznanie im maksymalnego dofinansowania, pozostała alokacja zostanie podzielona z uwzględnieniem tego samego poziomu dofinansowania (procentu wydatków kwalifikowalnych).</w:t>
            </w:r>
          </w:p>
        </w:tc>
      </w:tr>
    </w:tbl>
    <w:p w14:paraId="0F742E53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7721D7C0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685EEA64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1C52F218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351E4E8C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66B823CE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p w14:paraId="41427299" w14:textId="77777777" w:rsidR="005421CE" w:rsidRPr="005421CE" w:rsidRDefault="005421CE" w:rsidP="005421CE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2" w:rightFromText="142" w:vertAnchor="text" w:tblpY="1021"/>
        <w:tblOverlap w:val="never"/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377"/>
        <w:gridCol w:w="9301"/>
        <w:gridCol w:w="1419"/>
      </w:tblGrid>
      <w:tr w:rsidR="005421CE" w:rsidRPr="005421CE" w14:paraId="236EDF09" w14:textId="77777777" w:rsidTr="008B6838">
        <w:trPr>
          <w:trHeight w:val="421"/>
        </w:trPr>
        <w:tc>
          <w:tcPr>
            <w:tcW w:w="559" w:type="dxa"/>
            <w:shd w:val="clear" w:color="auto" w:fill="E5DFEC"/>
            <w:vAlign w:val="center"/>
          </w:tcPr>
          <w:p w14:paraId="2716C62A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3377" w:type="dxa"/>
            <w:shd w:val="clear" w:color="auto" w:fill="E5DFEC"/>
            <w:vAlign w:val="center"/>
          </w:tcPr>
          <w:p w14:paraId="2FBD1199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Nazwa kryterium</w:t>
            </w:r>
          </w:p>
        </w:tc>
        <w:tc>
          <w:tcPr>
            <w:tcW w:w="9301" w:type="dxa"/>
            <w:shd w:val="clear" w:color="auto" w:fill="E5DFEC"/>
            <w:vAlign w:val="center"/>
          </w:tcPr>
          <w:p w14:paraId="0358FA58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Definicja kryterium</w:t>
            </w:r>
          </w:p>
        </w:tc>
        <w:tc>
          <w:tcPr>
            <w:tcW w:w="1419" w:type="dxa"/>
            <w:shd w:val="clear" w:color="auto" w:fill="E5DFEC"/>
            <w:vAlign w:val="center"/>
          </w:tcPr>
          <w:p w14:paraId="0788BAB1" w14:textId="77777777" w:rsidR="005421CE" w:rsidRPr="005421CE" w:rsidRDefault="005421CE" w:rsidP="005421CE">
            <w:pPr>
              <w:keepNext/>
              <w:tabs>
                <w:tab w:val="left" w:pos="435"/>
              </w:tabs>
              <w:snapToGrid w:val="0"/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Sposób oceny</w:t>
            </w:r>
          </w:p>
        </w:tc>
      </w:tr>
      <w:tr w:rsidR="005421CE" w:rsidRPr="005421CE" w14:paraId="1FD4C356" w14:textId="77777777" w:rsidTr="008B6838">
        <w:trPr>
          <w:trHeight w:val="284"/>
        </w:trPr>
        <w:tc>
          <w:tcPr>
            <w:tcW w:w="559" w:type="dxa"/>
          </w:tcPr>
          <w:p w14:paraId="6F6F21B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156DC506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Kwalifikowalność Wnioskodawcy</w:t>
            </w:r>
          </w:p>
        </w:tc>
        <w:tc>
          <w:tcPr>
            <w:tcW w:w="9301" w:type="dxa"/>
            <w:vAlign w:val="center"/>
          </w:tcPr>
          <w:p w14:paraId="2F2C32C0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 czy Wnioskodawca jest zgodny z typem beneficjenta określonym dla działania 3.1 w Szczegółowym opisie priorytetów FEPW 2021-2027 (SZOP). </w:t>
            </w:r>
          </w:p>
          <w:p w14:paraId="4DA3B2BC" w14:textId="23B034EB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1C0CBEF9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300726C8" w14:textId="718E7355" w:rsidR="005421CE" w:rsidRPr="005421CE" w:rsidRDefault="005421CE" w:rsidP="005421CE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Wnioskodawca </w:t>
            </w:r>
            <w:r w:rsidR="003D5687">
              <w:rPr>
                <w:rFonts w:ascii="Calibri" w:eastAsia="Calibri" w:hAnsi="Calibri" w:cs="Calibri"/>
                <w:sz w:val="24"/>
                <w:szCs w:val="24"/>
              </w:rPr>
              <w:t xml:space="preserve">nie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jest zgodny z typem beneficjenta w SZOP.</w:t>
            </w:r>
          </w:p>
          <w:p w14:paraId="1D6795B5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1 pkt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 Wnioskodawca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jest zgodny z typem beneficjenta w SZOP.</w:t>
            </w:r>
          </w:p>
        </w:tc>
        <w:tc>
          <w:tcPr>
            <w:tcW w:w="1419" w:type="dxa"/>
          </w:tcPr>
          <w:p w14:paraId="29E70C6F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0 albo 1</w:t>
            </w:r>
          </w:p>
        </w:tc>
      </w:tr>
      <w:tr w:rsidR="005421CE" w:rsidRPr="005421CE" w14:paraId="6C02C518" w14:textId="77777777" w:rsidTr="008B6838">
        <w:trPr>
          <w:trHeight w:val="284"/>
        </w:trPr>
        <w:tc>
          <w:tcPr>
            <w:tcW w:w="559" w:type="dxa"/>
          </w:tcPr>
          <w:p w14:paraId="405678E2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14:paraId="50684A3F" w14:textId="120E7332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Realizacja projektu mieści się w</w:t>
            </w:r>
            <w:r w:rsidR="00014C86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ramach czasowych działania</w:t>
            </w:r>
          </w:p>
        </w:tc>
        <w:tc>
          <w:tcPr>
            <w:tcW w:w="9301" w:type="dxa"/>
            <w:vAlign w:val="center"/>
          </w:tcPr>
          <w:p w14:paraId="4BF52C0D" w14:textId="01222018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 czy okres realizacji projektu nie wykracza poza końcową datę okresu kwalifikowalności wydatków FEPW 2021-2027, tj. 31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grudnia 2029 r. </w:t>
            </w:r>
          </w:p>
          <w:p w14:paraId="17A7CE69" w14:textId="4ED5E14E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załącznikami.</w:t>
            </w:r>
          </w:p>
          <w:p w14:paraId="1BA643E6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Możliwe jest przyznanie 0 albo 1 pkt., przy czym:</w:t>
            </w:r>
          </w:p>
          <w:p w14:paraId="54879968" w14:textId="16343AED" w:rsidR="005421CE" w:rsidRPr="005421CE" w:rsidRDefault="005421CE" w:rsidP="005421CE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okres realizacji projektu wykracza poza końcową datę okresu kwalifikowalności wydatków FEPW 2021-20</w:t>
            </w:r>
            <w:r w:rsidR="00014C86">
              <w:rPr>
                <w:rFonts w:ascii="Calibri" w:eastAsia="Calibri" w:hAnsi="Calibri" w:cs="Calibri"/>
                <w:bCs/>
                <w:sz w:val="24"/>
                <w:szCs w:val="24"/>
              </w:rPr>
              <w:t>27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, tj. 31 grudnia 2029 r.</w:t>
            </w:r>
          </w:p>
          <w:p w14:paraId="7115163A" w14:textId="67F4DA73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okres realizacji projektu nie wykracza poza końcową datę okresu kwalifikowalności wydatków FEPW 2021-20</w:t>
            </w:r>
            <w:r w:rsidR="00014C86">
              <w:rPr>
                <w:rFonts w:ascii="Calibri" w:eastAsia="Calibri" w:hAnsi="Calibri" w:cs="Calibri"/>
                <w:bCs/>
                <w:sz w:val="24"/>
                <w:szCs w:val="24"/>
              </w:rPr>
              <w:t>27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, tj. 31 grudnia 2029 r.</w:t>
            </w:r>
          </w:p>
        </w:tc>
        <w:tc>
          <w:tcPr>
            <w:tcW w:w="1419" w:type="dxa"/>
          </w:tcPr>
          <w:p w14:paraId="51029B0B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0 albo 1</w:t>
            </w:r>
          </w:p>
        </w:tc>
      </w:tr>
      <w:tr w:rsidR="005421CE" w:rsidRPr="005421CE" w14:paraId="10E0951F" w14:textId="77777777" w:rsidTr="008B6838">
        <w:trPr>
          <w:trHeight w:val="284"/>
        </w:trPr>
        <w:tc>
          <w:tcPr>
            <w:tcW w:w="559" w:type="dxa"/>
          </w:tcPr>
          <w:p w14:paraId="41500A3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377" w:type="dxa"/>
          </w:tcPr>
          <w:p w14:paraId="36A52B1D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Kompleksowość projektu</w:t>
            </w:r>
          </w:p>
        </w:tc>
        <w:tc>
          <w:tcPr>
            <w:tcW w:w="9301" w:type="dxa"/>
            <w:vAlign w:val="center"/>
          </w:tcPr>
          <w:p w14:paraId="7973BB6B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 czy projekt jest kompleksowy. </w:t>
            </w:r>
          </w:p>
          <w:p w14:paraId="67E9E770" w14:textId="5D061538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Za projekt kompleksowy uznane będzie przedsięwzięcie obejmujące zadania wskazane w co najmniej dwóch z trzech grup określonych dla działania 3.1 w Szczegółowym opisie priorytetów FEPW 2021-2027 (SZOP), tj.:</w:t>
            </w:r>
          </w:p>
          <w:p w14:paraId="13609F5D" w14:textId="4435231A" w:rsidR="005421CE" w:rsidRPr="005421CE" w:rsidRDefault="005421CE" w:rsidP="005421CE">
            <w:pPr>
              <w:numPr>
                <w:ilvl w:val="0"/>
                <w:numId w:val="4"/>
              </w:numPr>
              <w:spacing w:after="120" w:line="276" w:lineRule="auto"/>
              <w:ind w:left="272" w:hanging="272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zakup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bezemisyjnego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taboru tramwajowego, trolejbusowego lub autobusowego (pojazdy z napędem elektrycznym lub wodorowym)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7CCE66EF" w14:textId="54D400A3" w:rsidR="005421CE" w:rsidRPr="005421CE" w:rsidRDefault="005421CE" w:rsidP="005421CE">
            <w:pPr>
              <w:numPr>
                <w:ilvl w:val="0"/>
                <w:numId w:val="4"/>
              </w:numPr>
              <w:spacing w:after="120" w:line="276" w:lineRule="auto"/>
              <w:ind w:left="272" w:hanging="272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budowa, przebudowa i modernizacja infrastruktury na potrzeby transportu miejskiego i komplementarnych form mobilności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154FC8DA" w14:textId="77777777" w:rsidR="005421CE" w:rsidRPr="005421CE" w:rsidRDefault="005421CE" w:rsidP="005421CE">
            <w:pPr>
              <w:numPr>
                <w:ilvl w:val="0"/>
                <w:numId w:val="4"/>
              </w:numPr>
              <w:spacing w:after="0" w:line="276" w:lineRule="auto"/>
              <w:ind w:left="272" w:hanging="272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digitalizacja systemu mobilności w miastach i ich obszarach funkcjonalnych. </w:t>
            </w:r>
          </w:p>
          <w:p w14:paraId="30D90792" w14:textId="047519E4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podstawie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informacji zawartych we wniosku o dofinansowanie wraz z</w:t>
            </w:r>
            <w:r w:rsidR="007A593F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1104449C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6BC8BC9B" w14:textId="6B0003DF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projekt nie jest kompleksowy, tj. nie składa się z zadań wskazanych w co najmniej dwóch z trzech grup określonych dla działania 3.1 w SZOP.</w:t>
            </w:r>
          </w:p>
          <w:p w14:paraId="0EF87F65" w14:textId="7AA168BC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projekt jest kompleksowy, tj. składa się z zadań wskazanych w co najmniej dwóch z trzech grup określonych dla działania 3.1 w SZOP.</w:t>
            </w:r>
          </w:p>
        </w:tc>
        <w:tc>
          <w:tcPr>
            <w:tcW w:w="1419" w:type="dxa"/>
          </w:tcPr>
          <w:p w14:paraId="6E3C0D8C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0 albo 1</w:t>
            </w:r>
          </w:p>
        </w:tc>
      </w:tr>
      <w:tr w:rsidR="005421CE" w:rsidRPr="005421CE" w14:paraId="0690ABBE" w14:textId="77777777" w:rsidTr="008B6838">
        <w:trPr>
          <w:trHeight w:val="1977"/>
        </w:trPr>
        <w:tc>
          <w:tcPr>
            <w:tcW w:w="559" w:type="dxa"/>
          </w:tcPr>
          <w:p w14:paraId="12C5710D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3377" w:type="dxa"/>
          </w:tcPr>
          <w:p w14:paraId="3B8EA856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Projekt został ujęty w instrumencie terytorialnym </w:t>
            </w:r>
          </w:p>
        </w:tc>
        <w:tc>
          <w:tcPr>
            <w:tcW w:w="9301" w:type="dxa"/>
            <w:vAlign w:val="center"/>
          </w:tcPr>
          <w:p w14:paraId="6ADCAFF3" w14:textId="24FA583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czy 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–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na moment złożenia wniosku o dofinansowanie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projekt został wskazany do dofinansowania z programu FEPW 2021-2027 w instrumencie terytorialnym, tj.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 strategii ZIT, lub strategii rozwoju ponadlokalnego, o ile zawiera ona elementy wskazane w art. 34, ust. 15 albo w art. 36, ust. 8 Ustawy o zasadach realizacji zadań finansowanych ze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środków europejskich w perspektywie finansowej 2021-2027 (Dz. U. z 2022r., poz. 1079).</w:t>
            </w:r>
          </w:p>
          <w:p w14:paraId="2F56ECC6" w14:textId="1D500481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lastRenderedPageBreak/>
              <w:t xml:space="preserve">Ocena na podstawie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34C62632" w14:textId="612270F1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</w:t>
            </w:r>
            <w:r w:rsidR="00C03E71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, przy czym:</w:t>
            </w:r>
          </w:p>
          <w:p w14:paraId="30B423D5" w14:textId="77777777" w:rsidR="005421CE" w:rsidRPr="005421CE" w:rsidRDefault="005421CE" w:rsidP="005421CE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nie został wskazany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 instrumencie terytorialnym do dofinansowania z programu FEPW 2021-2027.</w:t>
            </w:r>
          </w:p>
          <w:p w14:paraId="09CF69CA" w14:textId="03BB39A3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został wskazany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 instrumencie terytorialny</w:t>
            </w:r>
            <w:r w:rsidR="00C03E71">
              <w:rPr>
                <w:rFonts w:ascii="Calibri" w:eastAsia="Calibri" w:hAnsi="Calibri" w:cs="Calibri"/>
                <w:bCs/>
                <w:sz w:val="24"/>
                <w:szCs w:val="24"/>
              </w:rPr>
              <w:t>m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do dofinansowania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programu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FEPW 2021-2027.</w:t>
            </w:r>
          </w:p>
        </w:tc>
        <w:tc>
          <w:tcPr>
            <w:tcW w:w="1419" w:type="dxa"/>
          </w:tcPr>
          <w:p w14:paraId="751A21D4" w14:textId="77777777" w:rsidR="005421CE" w:rsidRPr="005421CE" w:rsidRDefault="005421CE" w:rsidP="005421CE">
            <w:pPr>
              <w:spacing w:before="120"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196CF449" w14:textId="77777777" w:rsidTr="008B6838">
        <w:trPr>
          <w:trHeight w:val="284"/>
        </w:trPr>
        <w:tc>
          <w:tcPr>
            <w:tcW w:w="559" w:type="dxa"/>
          </w:tcPr>
          <w:p w14:paraId="771956E3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3377" w:type="dxa"/>
          </w:tcPr>
          <w:p w14:paraId="22272B84" w14:textId="26455253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Zgodność Planu Zrównoważonej Mobilności Miejskiej (z ang. SUMP) z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Komunikatem 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Komisji Europejskiej do Parlamentu Europejskiego, Rady Europejskiego Komitetu Ekonomiczno-Społecznego i Komitetu Regionów z</w:t>
            </w:r>
            <w:r w:rsidR="00364762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17.12.2013</w:t>
            </w:r>
            <w:r w:rsidR="00364762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„Wspólne dążenie do osiągnięcia konkurencyjnej i</w:t>
            </w:r>
            <w:r w:rsidR="00364762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zasobooszczędnej</w:t>
            </w:r>
            <w:proofErr w:type="spellEnd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mobilności” COM (2013) 913 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final</w:t>
            </w:r>
            <w:proofErr w:type="spellEnd"/>
          </w:p>
        </w:tc>
        <w:tc>
          <w:tcPr>
            <w:tcW w:w="9301" w:type="dxa"/>
            <w:vAlign w:val="center"/>
          </w:tcPr>
          <w:p w14:paraId="53BD33E7" w14:textId="414E1FB3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Ocenie podlega czy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Plan Zrównoważonej Mobilności Miejskiej (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SUMP) uzyskał</w:t>
            </w:r>
            <w:r w:rsidR="008343F6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, w</w:t>
            </w:r>
            <w:r w:rsidR="006A4233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 </w:t>
            </w:r>
            <w:r w:rsidR="008343F6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wyniku sprawdzania przez Centrum Unijnych Projektów Transportowych,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ocenę „pozytywną” lub ocenę „pozytywną z rekomendacjami” w zakresie </w:t>
            </w:r>
            <w:r w:rsidR="008343F6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zgodności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z 8 zasadami ujętymi w</w:t>
            </w:r>
            <w:r w:rsidR="00524453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Komunikacie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Komisji Europejskiej do Parlamentu Europejskiego, Rady Europejskiego Komitetu Ekonomiczno-Społecznego i Komitetu Regionów z 17.12.2013</w:t>
            </w:r>
            <w:r w:rsidR="0036476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„Wspólne dążenie do osiągnięcia konkurencyjnej i </w:t>
            </w:r>
            <w:proofErr w:type="spellStart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zasobooszczędnej</w:t>
            </w:r>
            <w:proofErr w:type="spellEnd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mobilności” COM (2013) 913 </w:t>
            </w:r>
            <w:proofErr w:type="spellStart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final</w:t>
            </w:r>
            <w:proofErr w:type="spellEnd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</w:t>
            </w:r>
          </w:p>
          <w:p w14:paraId="1C7D13AA" w14:textId="77777777" w:rsidR="005421CE" w:rsidRPr="005421CE" w:rsidRDefault="006A4233" w:rsidP="005421CE">
            <w:pPr>
              <w:spacing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hyperlink r:id="rId8" w:history="1">
              <w:r w:rsidR="005421CE" w:rsidRPr="005421C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https://www.europarl.europa.eu/meetdocs/2014_2019/documents/com/com_com(2013)0913_/com_com(2013)0913_pl.pdf</w:t>
              </w:r>
            </w:hyperlink>
          </w:p>
          <w:p w14:paraId="05682612" w14:textId="16588C35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078934B1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35B72DF6" w14:textId="1D0A640C" w:rsidR="005421CE" w:rsidRPr="005421CE" w:rsidRDefault="005421CE" w:rsidP="005421CE">
            <w:pPr>
              <w:widowControl w:val="0"/>
              <w:spacing w:after="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Plan Zrównoważonej Mobilności Miejskiej (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SUMP) nie uzyskał oceny „pozytywnej” lub oceny „pozytywnej z rekomendacjami”.</w:t>
            </w:r>
          </w:p>
          <w:p w14:paraId="4F6B1108" w14:textId="7207799A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Plan Zrównoważonej Mobilności Miejskiej (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SUMP) uzyskał ocenę „pozytywną” lub ocenę „pozytywną z rekomendacjami”. Kryterium uznaje się za spełnione również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lastRenderedPageBreak/>
              <w:t>w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 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przypadku, gdy Wnioskodawca nie jest zobowiązany do posiadania Planu Zrównoważonej Mobilności Miejskiej.</w:t>
            </w:r>
          </w:p>
        </w:tc>
        <w:tc>
          <w:tcPr>
            <w:tcW w:w="1419" w:type="dxa"/>
          </w:tcPr>
          <w:p w14:paraId="59793180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27A3598C" w14:textId="77777777" w:rsidTr="008B6838">
        <w:trPr>
          <w:trHeight w:val="284"/>
        </w:trPr>
        <w:tc>
          <w:tcPr>
            <w:tcW w:w="559" w:type="dxa"/>
          </w:tcPr>
          <w:p w14:paraId="03E466DF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24747795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3377" w:type="dxa"/>
          </w:tcPr>
          <w:p w14:paraId="6C4B1E06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Zgodność projektu z dokumentami z zakresu planowania mobilności miejskiej</w:t>
            </w:r>
          </w:p>
        </w:tc>
        <w:tc>
          <w:tcPr>
            <w:tcW w:w="9301" w:type="dxa"/>
            <w:vAlign w:val="center"/>
          </w:tcPr>
          <w:p w14:paraId="18CBC20B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  <w:lang w:bidi="pl-PL"/>
              </w:rPr>
              <w:t xml:space="preserve">Ocenie podlega czy projekt jest zgodny z wymaganymi dokumentami z zakresu planowania mobilności miejskiej,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określonymi dla działania 3.1 w Szczegółowym opisie priorytetów FEPW 2021-2027, tj.:</w:t>
            </w:r>
          </w:p>
          <w:p w14:paraId="5BDFEF32" w14:textId="6DA65A4A" w:rsidR="005421CE" w:rsidRPr="005421CE" w:rsidRDefault="005421CE" w:rsidP="005421CE">
            <w:pPr>
              <w:numPr>
                <w:ilvl w:val="0"/>
                <w:numId w:val="19"/>
              </w:numPr>
              <w:spacing w:after="120" w:line="276" w:lineRule="auto"/>
              <w:ind w:left="272" w:hanging="272"/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w miastach wojewódzkich oraz w gminach położonych w ich miejskich obszarach funkcjonalnych – zgodność z Planem Zrównoważonej Mobilności Miejskiej 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(z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SUMP) przyjętym uchwałą właściwego organu</w:t>
            </w:r>
            <w:r w:rsidR="002E4BF5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,</w:t>
            </w:r>
          </w:p>
          <w:p w14:paraId="38E82AC7" w14:textId="147F7016" w:rsidR="005421CE" w:rsidRPr="005421CE" w:rsidRDefault="005421CE" w:rsidP="005421CE">
            <w:pPr>
              <w:numPr>
                <w:ilvl w:val="0"/>
                <w:numId w:val="19"/>
              </w:numPr>
              <w:spacing w:after="120" w:line="276" w:lineRule="auto"/>
              <w:ind w:left="272" w:hanging="272"/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w innych miastach </w:t>
            </w:r>
            <w:r w:rsidRPr="00E96DE6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bidi="pl-PL"/>
              </w:rPr>
              <w:t xml:space="preserve">powyżej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100 </w:t>
            </w:r>
            <w:r w:rsidR="009052D9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tys.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mieszkańców oraz w gminach położonych w ich miejskich obszarach funkcjonalnych – zgodność z:</w:t>
            </w:r>
          </w:p>
          <w:p w14:paraId="3DBDF76C" w14:textId="52689383" w:rsidR="005421CE" w:rsidRPr="005421CE" w:rsidRDefault="005421CE" w:rsidP="00B85B47">
            <w:pPr>
              <w:numPr>
                <w:ilvl w:val="0"/>
                <w:numId w:val="20"/>
              </w:numPr>
              <w:spacing w:after="120" w:line="276" w:lineRule="auto"/>
              <w:ind w:hanging="283"/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Planem Zrównoważonej Mobilności Miejskiej (</w:t>
            </w:r>
            <w:r w:rsidR="00364762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SUMP), </w:t>
            </w:r>
            <w:r w:rsidRPr="005421CE">
              <w:rPr>
                <w:rFonts w:ascii="Calibri" w:eastAsia="Calibri" w:hAnsi="Calibri" w:cs="Times New Roman"/>
              </w:rPr>
              <w:t xml:space="preserve"> </w:t>
            </w:r>
          </w:p>
          <w:p w14:paraId="3BC9CFFD" w14:textId="77777777" w:rsidR="005421CE" w:rsidRPr="005421CE" w:rsidRDefault="005421CE" w:rsidP="005421CE">
            <w:pPr>
              <w:spacing w:after="120" w:line="276" w:lineRule="auto"/>
              <w:ind w:left="839"/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lub (tylko do końca 2025 r.)</w:t>
            </w:r>
          </w:p>
          <w:p w14:paraId="63EA4B68" w14:textId="18018FF6" w:rsidR="005421CE" w:rsidRPr="00B85B47" w:rsidRDefault="005421CE" w:rsidP="00B85B47">
            <w:pPr>
              <w:numPr>
                <w:ilvl w:val="0"/>
                <w:numId w:val="20"/>
              </w:numPr>
              <w:spacing w:after="120" w:line="276" w:lineRule="auto"/>
              <w:ind w:left="409" w:hanging="60"/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</w:pPr>
            <w:r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innym dokumentem z zakresu planowania transportu miejskiego (tj. obowiązującym</w:t>
            </w:r>
            <w:r w:rsidRPr="00B85B47">
              <w:rPr>
                <w:rFonts w:ascii="Calibri" w:eastAsia="Calibri" w:hAnsi="Calibri" w:cs="Times New Roman"/>
                <w:sz w:val="24"/>
                <w:szCs w:val="24"/>
              </w:rPr>
              <w:t xml:space="preserve"> Planem zrównoważonego rozwoju publicznego transportu zbiorowego,</w:t>
            </w:r>
            <w:r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o którym mowa w </w:t>
            </w:r>
            <w:r w:rsidR="0036622F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Dziale II, </w:t>
            </w:r>
            <w:r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rozdziale 2 Ustawy o publicznym transporcie zbiorowym (Dz. U. z 2022 r. poz. 1343), lub strategią terytorialną, o której mowa w rozdziale 12 Ustawy o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>zasadach realizacji zadań finansowanych ze środków europejskich w perspektywie finansowej 2021-2027 (Dz. U. z 2022</w:t>
            </w:r>
            <w:r w:rsidR="007F5507"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>r., poz. 1079), o ile zawiera ona element</w:t>
            </w:r>
            <w:r w:rsidR="007F5507"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>y</w:t>
            </w:r>
            <w:r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B85B47">
              <w:rPr>
                <w:rFonts w:ascii="Calibri" w:eastAsia="Calibri" w:hAnsi="Calibri" w:cs="Calibri"/>
                <w:bCs/>
                <w:sz w:val="24"/>
                <w:szCs w:val="24"/>
              </w:rPr>
              <w:t>zakresu planowania transportu miejskiego</w:t>
            </w:r>
            <w:r w:rsidR="00B85B47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,</w:t>
            </w:r>
            <w:r w:rsidR="00B85B47"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</w:t>
            </w:r>
            <w:r w:rsidRP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przyjętym uchwałą właściwego organu</w:t>
            </w:r>
            <w:r w:rsidR="00E3589D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,</w:t>
            </w:r>
          </w:p>
          <w:p w14:paraId="2E5BB836" w14:textId="15E3C3A6" w:rsidR="005421CE" w:rsidRPr="005421CE" w:rsidRDefault="005421CE" w:rsidP="00E96DE6">
            <w:pPr>
              <w:numPr>
                <w:ilvl w:val="0"/>
                <w:numId w:val="19"/>
              </w:numPr>
              <w:spacing w:after="120" w:line="276" w:lineRule="auto"/>
              <w:ind w:left="272" w:hanging="272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w pozostałych miastach (tj. poniżej 100 </w:t>
            </w:r>
            <w:r w:rsidR="009052D9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tys.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mieszkańców) – zgodność z odpowiednim dokumentem z zakresu planowania transportu miejskiego (tj. obowiązującym</w:t>
            </w: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 xml:space="preserve"> Planem zrównoważonego rozwoju publicznego transportu zbiorowego,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o którym mowa w </w:t>
            </w:r>
            <w:r w:rsidR="00167519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Dziale II,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rozdziale 2 Ustawy o publicznym transporcie zbiorowym (Dz. U. z 2022 r. poz. 1343), lub strategią terytorialną, o której mowa w rozdziale 12 Ustawy o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zasadach realizacji zadań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finansowanych ze środków europejskich w perspektywie finansowej 2021-2027 (Dz. U. z</w:t>
            </w:r>
            <w:r w:rsidR="00E96DE6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2022</w:t>
            </w:r>
            <w:r w:rsidR="006A423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r., poz. 1079), o ile zawiera ona element</w:t>
            </w:r>
            <w:r w:rsidR="00B85B47">
              <w:rPr>
                <w:rFonts w:ascii="Calibri" w:eastAsia="Calibri" w:hAnsi="Calibri" w:cs="Calibri"/>
                <w:bCs/>
                <w:sz w:val="24"/>
                <w:szCs w:val="24"/>
              </w:rPr>
              <w:t>y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 zakresu planowania transportu miejskiego</w:t>
            </w:r>
            <w:r w:rsidR="00B85B47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lub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Planem Zrównoważonej Mobilności Miejskiej (</w:t>
            </w:r>
            <w:r w:rsidR="00B85B47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SUMP), o którym mowa w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Komunikacie 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Komisji Europejskiej do Parlamentu Europejskiego, Rady Europejskiego Komitetu Ekonomiczno-Społecznego i Komitetu Regionów z</w:t>
            </w:r>
            <w:r w:rsidR="007A593F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17.12.2013</w:t>
            </w:r>
            <w:r w:rsidR="00B85B4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„Wspólne dążenie do osiągnięcia konkurencyjnej i 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zasobooszczędnej</w:t>
            </w:r>
            <w:proofErr w:type="spellEnd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mobilności” COM</w:t>
            </w:r>
            <w:r w:rsidR="006A4233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(2013) 913 </w:t>
            </w:r>
            <w:proofErr w:type="spellStart"/>
            <w:r w:rsidRPr="005421CE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final</w:t>
            </w:r>
            <w:proofErr w:type="spellEnd"/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. </w:t>
            </w:r>
          </w:p>
          <w:p w14:paraId="0FB6CAE2" w14:textId="345F86D3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7291FCB7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6598F6A8" w14:textId="77777777" w:rsidR="005421CE" w:rsidRPr="005421CE" w:rsidRDefault="005421CE" w:rsidP="005421CE">
            <w:pPr>
              <w:widowControl w:val="0"/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brak wymaganego dokumentu albo projekt nie jest zgodny </w:t>
            </w: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  <w:lang w:bidi="pl-PL"/>
              </w:rPr>
              <w:t>z wymaganym dokumentem z zakresu planowania mobilności miejskiej.</w:t>
            </w:r>
          </w:p>
          <w:p w14:paraId="383B86BD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jest zgodny </w:t>
            </w: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  <w:lang w:bidi="pl-PL"/>
              </w:rPr>
              <w:t>z wymaganym dokumentem z zakresu planowania mobilności miejskiej.</w:t>
            </w:r>
          </w:p>
        </w:tc>
        <w:tc>
          <w:tcPr>
            <w:tcW w:w="1419" w:type="dxa"/>
          </w:tcPr>
          <w:p w14:paraId="5EACD63A" w14:textId="77777777" w:rsidR="005421CE" w:rsidRPr="005421CE" w:rsidDel="00742561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bookmarkEnd w:id="0"/>
      <w:tr w:rsidR="005421CE" w:rsidRPr="005421CE" w14:paraId="34CAE1C0" w14:textId="77777777" w:rsidTr="008B6838">
        <w:trPr>
          <w:trHeight w:val="284"/>
        </w:trPr>
        <w:tc>
          <w:tcPr>
            <w:tcW w:w="559" w:type="dxa"/>
          </w:tcPr>
          <w:p w14:paraId="40AF079B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7</w:t>
            </w:r>
          </w:p>
        </w:tc>
        <w:tc>
          <w:tcPr>
            <w:tcW w:w="3377" w:type="dxa"/>
          </w:tcPr>
          <w:p w14:paraId="15C3A48C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Zgodność projektu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z właściwym Programem ochrony powietrza oraz Planem na rzecz zrównoważonej energii i klimatu (z ang. SECAP)</w:t>
            </w:r>
          </w:p>
        </w:tc>
        <w:tc>
          <w:tcPr>
            <w:tcW w:w="9301" w:type="dxa"/>
            <w:vAlign w:val="center"/>
          </w:tcPr>
          <w:p w14:paraId="0D8C3D2B" w14:textId="6CF69E14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Ocenie podlega czy projekt jest zgodny z </w:t>
            </w:r>
            <w:r w:rsidR="00D94D0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właściwym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Programem ochrony powietrza oraz Planem na rzecz zrównoważonej energii i klimatu (</w:t>
            </w:r>
            <w:r w:rsidR="00B83408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SECAP)</w:t>
            </w:r>
            <w:r w:rsidR="00D94D0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, o ile został sporządzony.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</w:p>
          <w:p w14:paraId="581357D6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 załącznikami.</w:t>
            </w:r>
          </w:p>
          <w:p w14:paraId="791D95F0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7F0E1949" w14:textId="55F4F40B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projekt nie jest zgodny z właściwym Programem ochrony powietrza oraz Planem na rzecz zrównoważonej energii i klimatu (</w:t>
            </w:r>
            <w:r w:rsidR="00B83408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SECAP).</w:t>
            </w:r>
          </w:p>
          <w:p w14:paraId="5AED0486" w14:textId="6F3C8D35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projekt jest zgodny z właściwym Programem ochrony powietrza oraz Planem na rzecz zrównoważonej energii i klimatu (</w:t>
            </w:r>
            <w:r w:rsidR="00B83408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SECAP)</w:t>
            </w:r>
            <w:r w:rsidR="00D94D03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, </w:t>
            </w:r>
            <w:r w:rsidR="00D94D0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o ile został sporządzony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. </w:t>
            </w:r>
          </w:p>
        </w:tc>
        <w:tc>
          <w:tcPr>
            <w:tcW w:w="1419" w:type="dxa"/>
          </w:tcPr>
          <w:p w14:paraId="51D35E06" w14:textId="77777777" w:rsidR="005421CE" w:rsidRPr="005421CE" w:rsidRDefault="005421CE" w:rsidP="005421CE">
            <w:pPr>
              <w:spacing w:before="120" w:after="200" w:line="276" w:lineRule="auto"/>
              <w:ind w:hanging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EC1457" w:rsidRPr="005421CE" w14:paraId="1888165B" w14:textId="77777777" w:rsidTr="008B6838">
        <w:trPr>
          <w:trHeight w:val="284"/>
        </w:trPr>
        <w:tc>
          <w:tcPr>
            <w:tcW w:w="559" w:type="dxa"/>
          </w:tcPr>
          <w:p w14:paraId="664346DC" w14:textId="77777777" w:rsidR="00EC1457" w:rsidRPr="005421CE" w:rsidRDefault="00EC1457" w:rsidP="00EC1457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</w:p>
        </w:tc>
        <w:tc>
          <w:tcPr>
            <w:tcW w:w="3377" w:type="dxa"/>
          </w:tcPr>
          <w:p w14:paraId="3E024408" w14:textId="79D36BE0" w:rsidR="00EC1457" w:rsidRPr="005421CE" w:rsidRDefault="00EC1457" w:rsidP="00EC1457">
            <w:pPr>
              <w:spacing w:before="120" w:after="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Projekt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nie został zakończony przed złożeniem wniosku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dofinansowanie</w:t>
            </w:r>
          </w:p>
        </w:tc>
        <w:tc>
          <w:tcPr>
            <w:tcW w:w="9301" w:type="dxa"/>
            <w:vAlign w:val="center"/>
          </w:tcPr>
          <w:p w14:paraId="77F8C623" w14:textId="3EDE6231" w:rsidR="00EC1457" w:rsidRPr="005421CE" w:rsidRDefault="00EC1457" w:rsidP="00EC1457">
            <w:pPr>
              <w:spacing w:before="12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 sprawdzenie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czy inwestycja nie wyczerpuje przesłanek art. 63 ust. 6 rozporządzenia Parlamentu Europejskiego i Rady (UE) nr 2021/1060,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tj. czy projekt nie został fizycznie ukończony bądź w pełni zrealizowany przed przedłożeniem do oceny wniosku o dofinansowanie, niezależnie od tego, czy wszystkie powiązane płatności zostały przez Wnioskodawcę dokonane.</w:t>
            </w:r>
          </w:p>
          <w:p w14:paraId="1DD627C0" w14:textId="77777777" w:rsidR="00EC1457" w:rsidRPr="005421CE" w:rsidRDefault="00EC1457" w:rsidP="00EC1457">
            <w:pPr>
              <w:spacing w:before="12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Jako fizyczne ukończenie bądź pełną realizację projektu należy rozumieć podpisanie bezusterkowego protokołu odbioru w ramach ostatniego kontraktu na roboty, dostawy bądź usługi (w przypadku projektu, w ramach którego realizowanych jest kilka etapów, dotyczy ostatniego etapu).</w:t>
            </w:r>
          </w:p>
          <w:p w14:paraId="3BBFAE1E" w14:textId="3147F57E" w:rsidR="00EC1457" w:rsidRPr="005421CE" w:rsidRDefault="00EC1457" w:rsidP="00EC1457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438785AC" w14:textId="77777777" w:rsidR="00EC1457" w:rsidRPr="005421CE" w:rsidRDefault="00EC1457" w:rsidP="00EC1457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411FE9FB" w14:textId="77777777" w:rsidR="00EC1457" w:rsidRPr="005421CE" w:rsidRDefault="00EC1457" w:rsidP="00EC145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421C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0 pkt. </w:t>
            </w:r>
            <w:r w:rsidRPr="0099637D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Times New Roman" w:hAnsi="Calibri" w:cs="Calibri"/>
                <w:sz w:val="24"/>
                <w:szCs w:val="24"/>
              </w:rPr>
              <w:t>projekt został fizycznie ukończony bądź w pełni zrealizowany przed przedłożeniem do oceny wniosku o dofinansowanie.</w:t>
            </w:r>
          </w:p>
          <w:p w14:paraId="00601B81" w14:textId="77777777" w:rsidR="00EC1457" w:rsidRPr="005421CE" w:rsidRDefault="00EC1457" w:rsidP="00EC1457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 pkt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–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nie został fizycznie ukończony bądź w pełni zrealizowany przed przedłożeniem do oceny wniosku o dofinansowanie.</w:t>
            </w:r>
          </w:p>
        </w:tc>
        <w:tc>
          <w:tcPr>
            <w:tcW w:w="1419" w:type="dxa"/>
          </w:tcPr>
          <w:p w14:paraId="020BC4C3" w14:textId="325363AE" w:rsidR="00EC1457" w:rsidRPr="005421CE" w:rsidRDefault="00EC1457" w:rsidP="00EC1457">
            <w:pPr>
              <w:spacing w:before="120" w:after="200" w:line="276" w:lineRule="auto"/>
              <w:ind w:hanging="1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0 albo 1</w:t>
            </w:r>
          </w:p>
        </w:tc>
      </w:tr>
      <w:tr w:rsidR="005421CE" w:rsidRPr="005421CE" w14:paraId="308ADA6C" w14:textId="77777777" w:rsidTr="008B6838">
        <w:trPr>
          <w:trHeight w:val="284"/>
        </w:trPr>
        <w:tc>
          <w:tcPr>
            <w:tcW w:w="559" w:type="dxa"/>
          </w:tcPr>
          <w:p w14:paraId="37CE54AC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3377" w:type="dxa"/>
          </w:tcPr>
          <w:p w14:paraId="01932A36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Kwalifikowalność wydatków w projekcie</w:t>
            </w:r>
          </w:p>
        </w:tc>
        <w:tc>
          <w:tcPr>
            <w:tcW w:w="9301" w:type="dxa"/>
            <w:vAlign w:val="center"/>
          </w:tcPr>
          <w:p w14:paraId="05C6FBA3" w14:textId="305AC293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c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zy wydatki zaplanowane w projekcie (według kategorii wydatków we wniosku o dofinansowanie) są zgodne z zapisami Szczegółowego Opisu Priorytetów FEPW</w:t>
            </w:r>
            <w:r w:rsidR="00595FC2">
              <w:rPr>
                <w:rFonts w:ascii="Calibri" w:eastAsia="Calibri" w:hAnsi="Calibri" w:cs="Calibri"/>
                <w:sz w:val="24"/>
                <w:szCs w:val="24"/>
              </w:rPr>
              <w:t xml:space="preserve"> 2021-2027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(SZOP) oraz katalogiem wydatków kwalifikowalnych określonych w regulaminie wyboru projektów.</w:t>
            </w:r>
          </w:p>
          <w:p w14:paraId="3DB06186" w14:textId="45B9DCA2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lastRenderedPageBreak/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329A37B1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61574C01" w14:textId="77777777" w:rsidR="005421CE" w:rsidRPr="005421CE" w:rsidRDefault="005421CE" w:rsidP="0054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>wydatki zaplanowane w projekcie nie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są zgodne z zapisami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SZOP oraz katalogiem wydatków kwalifikowalnych określonych w regulaminie wyboru projektów.</w:t>
            </w:r>
          </w:p>
          <w:p w14:paraId="6D0B9FDF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 pkt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wydatki zaplanowane w projekcie są zgodne z zapisami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SZOP oraz katalogiem wydatków kwalifikowalnych określonych w regulaminie wyboru projektów.</w:t>
            </w:r>
          </w:p>
        </w:tc>
        <w:tc>
          <w:tcPr>
            <w:tcW w:w="1419" w:type="dxa"/>
          </w:tcPr>
          <w:p w14:paraId="72012239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3E789FB4" w14:textId="77777777" w:rsidTr="008B6838">
        <w:trPr>
          <w:trHeight w:val="284"/>
        </w:trPr>
        <w:tc>
          <w:tcPr>
            <w:tcW w:w="559" w:type="dxa"/>
          </w:tcPr>
          <w:p w14:paraId="59EA227F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10</w:t>
            </w:r>
          </w:p>
        </w:tc>
        <w:tc>
          <w:tcPr>
            <w:tcW w:w="3377" w:type="dxa"/>
          </w:tcPr>
          <w:p w14:paraId="063A43FF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Trwałość projektu</w:t>
            </w:r>
          </w:p>
        </w:tc>
        <w:tc>
          <w:tcPr>
            <w:tcW w:w="9301" w:type="dxa"/>
            <w:vAlign w:val="center"/>
          </w:tcPr>
          <w:p w14:paraId="044F49A9" w14:textId="77777777" w:rsidR="005421CE" w:rsidRPr="005421CE" w:rsidRDefault="005421CE" w:rsidP="005421CE">
            <w:pPr>
              <w:tabs>
                <w:tab w:val="left" w:pos="277"/>
              </w:tabs>
              <w:autoSpaceDE w:val="0"/>
              <w:autoSpaceDN w:val="0"/>
              <w:adjustRightInd w:val="0"/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Ocenie projektu podlega:</w:t>
            </w:r>
          </w:p>
          <w:p w14:paraId="70C97876" w14:textId="77777777" w:rsidR="005421CE" w:rsidRPr="005421CE" w:rsidRDefault="005421CE" w:rsidP="005421CE">
            <w:pPr>
              <w:numPr>
                <w:ilvl w:val="0"/>
                <w:numId w:val="3"/>
              </w:numPr>
              <w:spacing w:after="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część finansowa:</w:t>
            </w:r>
          </w:p>
          <w:p w14:paraId="7C1F3D2D" w14:textId="676A84A9" w:rsidR="005421CE" w:rsidRPr="005421CE" w:rsidRDefault="005421CE" w:rsidP="005421CE">
            <w:pPr>
              <w:numPr>
                <w:ilvl w:val="0"/>
                <w:numId w:val="9"/>
              </w:numPr>
              <w:spacing w:after="0" w:line="276" w:lineRule="auto"/>
              <w:ind w:left="68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czy deklarowane zasoby finansowe na realizację projektu są możliwe do zapewnienia i są wystarczające do sfinansowania kosztów projektu podczas jego realizacji, a następnie eksploatacji (ocena wstępna – niewymagająca weryfikacji w formie analizy finansowej)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557AE05B" w14:textId="75952282" w:rsidR="005421CE" w:rsidRPr="005421CE" w:rsidRDefault="005421CE" w:rsidP="005421CE">
            <w:pPr>
              <w:numPr>
                <w:ilvl w:val="0"/>
                <w:numId w:val="9"/>
              </w:numPr>
              <w:spacing w:after="200" w:line="276" w:lineRule="auto"/>
              <w:ind w:left="68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czy skumulowane przepływy pieniężne netto nie są ujemne w każdym roku analizy. Trwałość finansowa powinna zostać zbadana także w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odniesieniu do Wnioskodawcy/operatora projektu. Wystąpienie ujemnego salda w rachunku przepływów pieniężnych nawet dla jednego roku w ramach okresu referencyjnego i niewskazanie źródła pokrycia deficytu przez Wnioskodawcę powoduje negatywną ocenę wniosku w tym aspekcie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65FDEA62" w14:textId="77777777" w:rsidR="005421CE" w:rsidRPr="005421CE" w:rsidRDefault="005421CE" w:rsidP="005421CE">
            <w:pPr>
              <w:numPr>
                <w:ilvl w:val="0"/>
                <w:numId w:val="3"/>
              </w:numPr>
              <w:spacing w:after="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część dotycząca funkcjonowania:</w:t>
            </w:r>
          </w:p>
          <w:p w14:paraId="59159DF2" w14:textId="10BFC155" w:rsidR="005421CE" w:rsidRPr="005421CE" w:rsidRDefault="005421CE" w:rsidP="005421CE">
            <w:pPr>
              <w:numPr>
                <w:ilvl w:val="0"/>
                <w:numId w:val="21"/>
              </w:numPr>
              <w:spacing w:after="0" w:line="276" w:lineRule="auto"/>
              <w:ind w:left="68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czy Wnioskodawca zamierza wykorzystywać produkty projektu zgodnie z przeznaczeniem oraz czy założone cele projektu zostaną w pełni osiągnięte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2D593FC8" w14:textId="74B2834F" w:rsidR="005421CE" w:rsidRPr="005421CE" w:rsidRDefault="005421CE" w:rsidP="005421CE">
            <w:pPr>
              <w:numPr>
                <w:ilvl w:val="0"/>
                <w:numId w:val="21"/>
              </w:numPr>
              <w:spacing w:after="0" w:line="276" w:lineRule="auto"/>
              <w:ind w:left="68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czy została zapewniona przez Wnioskodawcę we wniosku o dofinansowanie trwałość operacji. Zgodnie z zapisami art. 65 Rozporządzenia PE i Rady (UE) nr 2021/1060 kryterium trwałości operacji uważa się za niespełnione, jeżeli w okresie 5 lat od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płatności końcowej na rzecz beneficjenta zajdzie jakakolwiek z</w:t>
            </w:r>
            <w:r w:rsidR="0052445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poniższych okoliczności:</w:t>
            </w:r>
          </w:p>
          <w:p w14:paraId="53F0A097" w14:textId="77777777" w:rsidR="005421CE" w:rsidRPr="005421CE" w:rsidRDefault="005421CE" w:rsidP="005421CE">
            <w:pPr>
              <w:numPr>
                <w:ilvl w:val="0"/>
                <w:numId w:val="22"/>
              </w:numPr>
              <w:spacing w:after="0" w:line="276" w:lineRule="auto"/>
              <w:ind w:left="1112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zaprzestanie lub przeniesienie działalności produkcyjnej poza region na poziomie NUTS 2, w którym dana operacja otrzymała wsparcie,</w:t>
            </w:r>
          </w:p>
          <w:p w14:paraId="514D9EE4" w14:textId="77777777" w:rsidR="005421CE" w:rsidRPr="005421CE" w:rsidRDefault="005421CE" w:rsidP="005421CE">
            <w:pPr>
              <w:numPr>
                <w:ilvl w:val="0"/>
                <w:numId w:val="22"/>
              </w:numPr>
              <w:spacing w:after="0" w:line="276" w:lineRule="auto"/>
              <w:ind w:left="1112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zmiana własności elementu infrastruktury, która daje przedsiębiorstwu lub podmiotowi publicznemu nienależną korzyść,</w:t>
            </w:r>
          </w:p>
          <w:p w14:paraId="29D56918" w14:textId="77777777" w:rsidR="005421CE" w:rsidRPr="005421CE" w:rsidRDefault="005421CE" w:rsidP="005421CE">
            <w:pPr>
              <w:numPr>
                <w:ilvl w:val="0"/>
                <w:numId w:val="22"/>
              </w:numPr>
              <w:spacing w:after="0" w:line="276" w:lineRule="auto"/>
              <w:ind w:left="1112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istotna zmiana wpływająca na charakter operacji, jej cele lub warunki wdrażania, mogąca doprowadzić do naruszenia pierwotnych celów operacji.</w:t>
            </w:r>
          </w:p>
          <w:p w14:paraId="7B2D9681" w14:textId="496ED8F6" w:rsid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0592148B" w14:textId="0EC50AEA" w:rsidR="00970702" w:rsidRPr="00A076F6" w:rsidRDefault="00970702" w:rsidP="00970702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524453">
              <w:rPr>
                <w:rStyle w:val="ui-provider"/>
                <w:sz w:val="24"/>
                <w:szCs w:val="24"/>
              </w:rPr>
              <w:t> </w:t>
            </w:r>
            <w:r>
              <w:rPr>
                <w:rStyle w:val="ui-provider"/>
                <w:sz w:val="24"/>
                <w:szCs w:val="24"/>
              </w:rPr>
              <w:t>punktach 1</w:t>
            </w:r>
            <w:r w:rsidR="00C820C5">
              <w:rPr>
                <w:rStyle w:val="ui-provider"/>
                <w:sz w:val="24"/>
                <w:szCs w:val="24"/>
              </w:rPr>
              <w:t>)</w:t>
            </w:r>
            <w:r w:rsidR="00524453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2</w:t>
            </w:r>
            <w:r w:rsidR="00C820C5">
              <w:rPr>
                <w:rStyle w:val="ui-provider"/>
                <w:sz w:val="24"/>
                <w:szCs w:val="24"/>
              </w:rPr>
              <w:t>)</w:t>
            </w:r>
            <w:r>
              <w:rPr>
                <w:rStyle w:val="ui-provider"/>
                <w:sz w:val="24"/>
                <w:szCs w:val="24"/>
              </w:rPr>
              <w:t>.</w:t>
            </w:r>
            <w:r w:rsidRPr="00A076F6">
              <w:rPr>
                <w:rStyle w:val="ui-provider"/>
                <w:sz w:val="24"/>
                <w:szCs w:val="24"/>
              </w:rPr>
              <w:t xml:space="preserve"> </w:t>
            </w:r>
          </w:p>
          <w:p w14:paraId="1EF3DC6F" w14:textId="77777777" w:rsidR="005421CE" w:rsidRPr="005421CE" w:rsidRDefault="005421CE" w:rsidP="00524453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0C5C54AF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0 pkt. </w:t>
            </w:r>
            <w:r w:rsidRPr="0099637D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nie potwierdzono zapewnienia trwałości projektu.</w:t>
            </w:r>
          </w:p>
          <w:p w14:paraId="4D29868E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1 pkt </w:t>
            </w:r>
            <w:r w:rsidRPr="0099637D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potwierdzono zapewnienie trwałości projektu.</w:t>
            </w:r>
          </w:p>
        </w:tc>
        <w:tc>
          <w:tcPr>
            <w:tcW w:w="1419" w:type="dxa"/>
          </w:tcPr>
          <w:p w14:paraId="4D1BCC47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084E635D" w14:textId="77777777" w:rsidTr="008B6838">
        <w:trPr>
          <w:trHeight w:val="284"/>
        </w:trPr>
        <w:tc>
          <w:tcPr>
            <w:tcW w:w="559" w:type="dxa"/>
          </w:tcPr>
          <w:p w14:paraId="3493830D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11</w:t>
            </w:r>
          </w:p>
        </w:tc>
        <w:tc>
          <w:tcPr>
            <w:tcW w:w="3377" w:type="dxa"/>
          </w:tcPr>
          <w:p w14:paraId="1A174837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Poprawność analizy finansowej i ekonomicznej</w:t>
            </w:r>
          </w:p>
        </w:tc>
        <w:tc>
          <w:tcPr>
            <w:tcW w:w="9301" w:type="dxa"/>
            <w:vAlign w:val="center"/>
          </w:tcPr>
          <w:p w14:paraId="0A3A2C31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 czy: </w:t>
            </w:r>
          </w:p>
          <w:p w14:paraId="74BE0ED7" w14:textId="77777777" w:rsidR="005421CE" w:rsidRPr="005421CE" w:rsidRDefault="005421CE" w:rsidP="005421CE">
            <w:pPr>
              <w:numPr>
                <w:ilvl w:val="1"/>
                <w:numId w:val="18"/>
              </w:numPr>
              <w:spacing w:after="200" w:line="276" w:lineRule="auto"/>
              <w:ind w:left="545" w:hanging="42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analiza finansowa i ekonomiczna zostały przeprowadzone prawidłowo,</w:t>
            </w:r>
          </w:p>
          <w:p w14:paraId="3A4C5367" w14:textId="77777777" w:rsidR="005421CE" w:rsidRPr="005421CE" w:rsidRDefault="005421CE" w:rsidP="005421CE">
            <w:pPr>
              <w:numPr>
                <w:ilvl w:val="1"/>
                <w:numId w:val="18"/>
              </w:numPr>
              <w:spacing w:after="200" w:line="276" w:lineRule="auto"/>
              <w:ind w:left="545" w:hanging="42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zakres i plan finansowy projektu odzwierciedlają najkorzystniejszą relację między kwotą wsparcia, podejmowanymi działaniami i osiąganymi celami,</w:t>
            </w:r>
          </w:p>
          <w:p w14:paraId="7EEEA74B" w14:textId="5D97EA2D" w:rsidR="00F22523" w:rsidRPr="005421CE" w:rsidRDefault="005421CE" w:rsidP="005421CE">
            <w:pPr>
              <w:numPr>
                <w:ilvl w:val="1"/>
                <w:numId w:val="18"/>
              </w:numPr>
              <w:spacing w:after="200" w:line="276" w:lineRule="auto"/>
              <w:ind w:left="545" w:hanging="42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wyliczenie poziomu dofinansowania przeprowadzono prawidłowo (zgodnie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zasadami dla danego typu projektu).</w:t>
            </w:r>
          </w:p>
          <w:p w14:paraId="6A64B212" w14:textId="27FF95FE" w:rsidR="00F22523" w:rsidRPr="005421CE" w:rsidRDefault="005421CE" w:rsidP="005268FF">
            <w:pPr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Ocena w oparciu o zgodność z</w:t>
            </w:r>
            <w:r w:rsidR="005268FF" w:rsidRPr="00BB245F">
              <w:rPr>
                <w:rFonts w:cstheme="minorHAnsi"/>
                <w:bCs/>
                <w:sz w:val="24"/>
                <w:szCs w:val="24"/>
              </w:rPr>
              <w:t xml:space="preserve"> Niebieską Księgą </w:t>
            </w:r>
            <w:r w:rsidR="005268FF">
              <w:rPr>
                <w:rFonts w:cstheme="minorHAnsi"/>
                <w:bCs/>
                <w:sz w:val="24"/>
                <w:szCs w:val="24"/>
              </w:rPr>
              <w:t>(z ang.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Blue </w:t>
            </w:r>
            <w:proofErr w:type="spellStart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Book</w:t>
            </w:r>
            <w:proofErr w:type="spellEnd"/>
            <w:r w:rsidR="005268FF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i/albo z Wytycznymi w</w:t>
            </w:r>
            <w:r w:rsidR="005268FF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zakresie zagadnień związanych z przygotowaniem projektów inwestycyjnych na lata 2021-2027 (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gdy mają zastosowanie)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lub z Załącznikiem III (Metodyka przeprowadzania analizy kosztów i korzyści) do rozporządzenia wykonawczego Komisji (UE) nr 2015/207 z 20 stycznia 2015 r., rozporządzeniem delegowanym Komisji (UE) nr 480/2014 z dnia 3 marca 2014 r., </w:t>
            </w:r>
            <w:r w:rsidR="005268FF">
              <w:t xml:space="preserve"> </w:t>
            </w:r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>Vademecum oceny ekonomicznej 2021-2027 – Ogólne zasady i zastosowania sektorowe (z</w:t>
            </w:r>
            <w:r w:rsidR="005268FF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 xml:space="preserve">ang. </w:t>
            </w:r>
            <w:proofErr w:type="spellStart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>Economic</w:t>
            </w:r>
            <w:proofErr w:type="spellEnd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>Appraisal</w:t>
            </w:r>
            <w:proofErr w:type="spellEnd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 xml:space="preserve"> Vademecum 2021-2027 – General </w:t>
            </w:r>
            <w:proofErr w:type="spellStart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>Principles</w:t>
            </w:r>
            <w:proofErr w:type="spellEnd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proofErr w:type="spellStart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>Sector</w:t>
            </w:r>
            <w:proofErr w:type="spellEnd"/>
            <w:r w:rsidR="005268FF" w:rsidRPr="005268FF">
              <w:rPr>
                <w:rFonts w:ascii="Calibri" w:eastAsia="Calibri" w:hAnsi="Calibri" w:cs="Calibri"/>
                <w:sz w:val="24"/>
                <w:szCs w:val="24"/>
              </w:rPr>
              <w:t xml:space="preserve"> Applications).  </w:t>
            </w:r>
          </w:p>
          <w:p w14:paraId="248132D3" w14:textId="4CC2E2AF" w:rsid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524453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4C8BB5B5" w14:textId="3DFDED96" w:rsidR="00970702" w:rsidRPr="00A076F6" w:rsidRDefault="00970702" w:rsidP="00970702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524453">
              <w:rPr>
                <w:rStyle w:val="ui-provider"/>
                <w:sz w:val="24"/>
                <w:szCs w:val="24"/>
              </w:rPr>
              <w:t> </w:t>
            </w:r>
            <w:r>
              <w:rPr>
                <w:rStyle w:val="ui-provider"/>
                <w:sz w:val="24"/>
                <w:szCs w:val="24"/>
              </w:rPr>
              <w:t>punktach 1</w:t>
            </w:r>
            <w:r w:rsidR="00C820C5">
              <w:rPr>
                <w:rStyle w:val="ui-provider"/>
                <w:sz w:val="24"/>
                <w:szCs w:val="24"/>
              </w:rPr>
              <w:t>)</w:t>
            </w:r>
            <w:r w:rsidR="00524453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3</w:t>
            </w:r>
            <w:r w:rsidR="00C820C5">
              <w:rPr>
                <w:rStyle w:val="ui-provider"/>
                <w:sz w:val="24"/>
                <w:szCs w:val="24"/>
              </w:rPr>
              <w:t>)</w:t>
            </w:r>
            <w:r>
              <w:rPr>
                <w:rStyle w:val="ui-provider"/>
                <w:sz w:val="24"/>
                <w:szCs w:val="24"/>
              </w:rPr>
              <w:t>.</w:t>
            </w:r>
            <w:r w:rsidRPr="00A076F6">
              <w:rPr>
                <w:rStyle w:val="ui-provider"/>
                <w:sz w:val="24"/>
                <w:szCs w:val="24"/>
              </w:rPr>
              <w:t xml:space="preserve"> </w:t>
            </w:r>
          </w:p>
          <w:p w14:paraId="0B878B7E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69FF1525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nie zapewniono poprawności analizy finansowej i ekonomicznej.</w:t>
            </w:r>
          </w:p>
          <w:p w14:paraId="79DB2B5E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zapewniono poprawność analizy finansowej i ekonomicznej.</w:t>
            </w:r>
          </w:p>
        </w:tc>
        <w:tc>
          <w:tcPr>
            <w:tcW w:w="1419" w:type="dxa"/>
          </w:tcPr>
          <w:p w14:paraId="681BA9CF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29C17F6D" w14:textId="77777777" w:rsidTr="008B6838">
        <w:trPr>
          <w:trHeight w:val="284"/>
        </w:trPr>
        <w:tc>
          <w:tcPr>
            <w:tcW w:w="559" w:type="dxa"/>
          </w:tcPr>
          <w:p w14:paraId="42468F3F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12</w:t>
            </w:r>
          </w:p>
        </w:tc>
        <w:tc>
          <w:tcPr>
            <w:tcW w:w="3377" w:type="dxa"/>
          </w:tcPr>
          <w:p w14:paraId="27F24106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Poprawność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wskaźników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projektu</w:t>
            </w:r>
          </w:p>
        </w:tc>
        <w:tc>
          <w:tcPr>
            <w:tcW w:w="9301" w:type="dxa"/>
            <w:vAlign w:val="center"/>
          </w:tcPr>
          <w:p w14:paraId="13B5548E" w14:textId="4FFBE42B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Ocenie podlega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czy wartości docelowe wskaźników projektu, zadeklarowane i uzasadnione we wniosku o dofinansowanie, są:</w:t>
            </w:r>
          </w:p>
          <w:p w14:paraId="2E79891A" w14:textId="77777777" w:rsidR="005421CE" w:rsidRPr="005421CE" w:rsidRDefault="005421CE" w:rsidP="005421CE">
            <w:pPr>
              <w:numPr>
                <w:ilvl w:val="0"/>
                <w:numId w:val="16"/>
              </w:numPr>
              <w:spacing w:before="120" w:after="120" w:line="276" w:lineRule="auto"/>
              <w:ind w:left="281" w:hanging="28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obiektywnie weryfikowalne, uzasadnione, realne i adekwatne do założeń projektu oraz </w:t>
            </w:r>
          </w:p>
          <w:p w14:paraId="078D8929" w14:textId="77777777" w:rsidR="005421CE" w:rsidRPr="005421CE" w:rsidRDefault="005421CE" w:rsidP="005421CE">
            <w:pPr>
              <w:numPr>
                <w:ilvl w:val="0"/>
                <w:numId w:val="16"/>
              </w:numPr>
              <w:spacing w:before="120" w:after="120" w:line="276" w:lineRule="auto"/>
              <w:ind w:left="281" w:hanging="28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przyczyniają się do osiągnięcia wartości wskaźników w FEPW 2021-2027.</w:t>
            </w:r>
          </w:p>
          <w:p w14:paraId="5BD38DC9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Na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potwierdzenie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tego Wnioskodawca powinien wskazać:</w:t>
            </w:r>
          </w:p>
          <w:p w14:paraId="5DF33215" w14:textId="77777777" w:rsidR="005421CE" w:rsidRPr="005421CE" w:rsidRDefault="005421CE" w:rsidP="005421CE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281" w:hanging="28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założenia i obliczenia, na podstawie których została określona wartość docelowa wskaźników,</w:t>
            </w:r>
          </w:p>
          <w:p w14:paraId="55D53634" w14:textId="30792B3A" w:rsidR="005421CE" w:rsidRPr="005421CE" w:rsidRDefault="005421CE" w:rsidP="005421CE">
            <w:pPr>
              <w:numPr>
                <w:ilvl w:val="0"/>
                <w:numId w:val="11"/>
              </w:numPr>
              <w:shd w:val="clear" w:color="auto" w:fill="FFFFFF"/>
              <w:spacing w:after="0" w:line="276" w:lineRule="auto"/>
              <w:ind w:left="281" w:hanging="281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sposób weryfikacji osiągnięcia zaplanowanej wartości docelowej wskaźników w trakcie i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 zakończeniu projektu.</w:t>
            </w:r>
          </w:p>
          <w:p w14:paraId="6F8D5C47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informacji zawartych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we wniosku o dofinansowanie wraz z załącznikami. </w:t>
            </w:r>
          </w:p>
          <w:p w14:paraId="1D1A0582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0A520D7E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0 pkt. </w:t>
            </w:r>
            <w:r w:rsidRPr="0099637D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wskaźniki nie są obiektywnie weryfikowalne, uzasadnione, realne i adekwatne do założeń projektu oraz nie przyczyniają się do osiągnięcia wartości wskaźników w FEPW 2021-2027.</w:t>
            </w:r>
          </w:p>
          <w:p w14:paraId="08DC5645" w14:textId="61BDEE89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1 pkt </w:t>
            </w:r>
            <w:r w:rsidRPr="0099637D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wskaźniki są obiektywnie weryfikowalne, uzasadnione, realne i adekwatnie do założeń projektu oraz przyczyniają się do</w:t>
            </w:r>
            <w:r w:rsidR="007A593F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osiągnięcia wartości wskaźników w FEPW 2021-2027.</w:t>
            </w:r>
          </w:p>
        </w:tc>
        <w:tc>
          <w:tcPr>
            <w:tcW w:w="1419" w:type="dxa"/>
          </w:tcPr>
          <w:p w14:paraId="07E65116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</w:tr>
      <w:tr w:rsidR="005421CE" w:rsidRPr="005421CE" w14:paraId="7905AB7C" w14:textId="77777777" w:rsidTr="008B6838">
        <w:trPr>
          <w:trHeight w:val="284"/>
        </w:trPr>
        <w:tc>
          <w:tcPr>
            <w:tcW w:w="559" w:type="dxa"/>
          </w:tcPr>
          <w:p w14:paraId="7F42488B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13</w:t>
            </w:r>
          </w:p>
        </w:tc>
        <w:tc>
          <w:tcPr>
            <w:tcW w:w="3377" w:type="dxa"/>
          </w:tcPr>
          <w:p w14:paraId="2CE5F56F" w14:textId="5E37AC2F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Projekt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ma</w:t>
            </w: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pozytywny wpływ na zasadę równości szans i</w:t>
            </w:r>
            <w:r w:rsidR="00AD7D01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niedyskryminacji, w</w:t>
            </w:r>
            <w:r w:rsidR="00B76DAC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tym dostępności dla osób z niepełnosprawnościami</w:t>
            </w:r>
          </w:p>
        </w:tc>
        <w:tc>
          <w:tcPr>
            <w:tcW w:w="9301" w:type="dxa"/>
            <w:vAlign w:val="center"/>
          </w:tcPr>
          <w:p w14:paraId="703DC0FD" w14:textId="77777777" w:rsidR="00DA4245" w:rsidRDefault="00DA4245" w:rsidP="00DA4245">
            <w:pPr>
              <w:pStyle w:val="xmsonormal"/>
              <w:ind w:left="65"/>
              <w:rPr>
                <w:sz w:val="24"/>
                <w:szCs w:val="24"/>
              </w:rPr>
            </w:pPr>
            <w:r w:rsidRPr="00024B56">
              <w:rPr>
                <w:sz w:val="24"/>
                <w:szCs w:val="24"/>
              </w:rPr>
              <w:t>Wsparcie polityki spójności będzie udzielane wyłącznie projektom i beneficjentom, którzy przestrzegają przepisów antydyskryminacyjnych, o których mowa w art. 9 ust. 3 Rozporządzenia PE i Rady nr 2021/1060. W przypadku, gdy beneficjentem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0D055D66" w14:textId="3FA8DAAF" w:rsidR="005421CE" w:rsidRPr="005421CE" w:rsidRDefault="005421CE" w:rsidP="00DA4245">
            <w:pPr>
              <w:pStyle w:val="xmsonormal"/>
              <w:ind w:left="65"/>
            </w:pPr>
            <w:r w:rsidRPr="007B6ADA">
              <w:rPr>
                <w:rFonts w:eastAsia="Calibri"/>
                <w:sz w:val="24"/>
                <w:szCs w:val="24"/>
              </w:rPr>
              <w:t xml:space="preserve">Wnioskodawca powinien wskazać, w jaki sposób realizacja projektu ma pozytywny wpływ na zasadę równości szans i niedyskryminacji, w tym dostępności dla osób z niepełnosprawnościami. </w:t>
            </w:r>
          </w:p>
          <w:p w14:paraId="21DCBCC4" w14:textId="7803D95A" w:rsidR="005421CE" w:rsidRPr="005421CE" w:rsidRDefault="005421CE" w:rsidP="005421CE">
            <w:pPr>
              <w:numPr>
                <w:ilvl w:val="0"/>
                <w:numId w:val="24"/>
              </w:numPr>
              <w:spacing w:before="120" w:after="120" w:line="276" w:lineRule="auto"/>
              <w:ind w:left="464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użytkowników/użytkowniczek. Dostępność pozwala osobom, które mogą być wykluczone (ze</w:t>
            </w:r>
            <w:r w:rsidR="00B76DA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względu na różne przesłanki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np. wiek, tymczasow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niepełnosprawność, opiek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ę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nad dziećmi itd.), w szczególności osobom z niepełnosprawnościami i starszym, na korzystanie z</w:t>
            </w:r>
            <w:r w:rsidR="007A593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nich na zasadzie równości z innymi osobami</w:t>
            </w:r>
            <w:r w:rsidRPr="005421C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C427336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Dopuszczalne jest uznanie neutralności poszczególnych 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produktów/usług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projektu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w stosunku do ww. zasady, o ile Wnioskodawca wykaże, że produkty/usługi nie mają swoich bezpośrednich użytkowników/użytkowniczek (np. trakcje kolejowe, instalacje elektryczne, linie przesyłowe, automatyczne linie produkcyjne, zbiorniki retencyjne, nowe lub usprawnione procesy technologiczne). W takiej sytuacji również uznaje się, że projekt ma pozytywny wpływ na ww. zasadę. </w:t>
            </w:r>
          </w:p>
          <w:p w14:paraId="0C4AA773" w14:textId="77777777" w:rsidR="005421CE" w:rsidRPr="005421CE" w:rsidRDefault="005421CE" w:rsidP="005421CE">
            <w:pPr>
              <w:numPr>
                <w:ilvl w:val="0"/>
                <w:numId w:val="24"/>
              </w:numPr>
              <w:spacing w:before="120" w:after="120" w:line="276" w:lineRule="auto"/>
              <w:ind w:left="464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Kolejnym z przejawów pozytywnego wpływu projektu na tę zasadę jest niepodejmowanie dyskryminujących aktów prawnych</w:t>
            </w:r>
            <w:r w:rsidRPr="005421C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tj.:</w:t>
            </w:r>
          </w:p>
          <w:p w14:paraId="2706AF89" w14:textId="77777777" w:rsidR="005421CE" w:rsidRPr="005421CE" w:rsidRDefault="005421CE" w:rsidP="005421CE">
            <w:pPr>
              <w:numPr>
                <w:ilvl w:val="0"/>
                <w:numId w:val="14"/>
              </w:numPr>
              <w:spacing w:before="120" w:after="120" w:line="276" w:lineRule="auto"/>
              <w:ind w:left="60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Wnioskodawca będący jednostką samorządu terytorialnego oświadcza, że na jego terenie nie obowiązują dyskryminujące akty prawne;</w:t>
            </w:r>
          </w:p>
          <w:p w14:paraId="4688DC8E" w14:textId="77777777" w:rsidR="005421CE" w:rsidRPr="005421CE" w:rsidRDefault="005421CE" w:rsidP="005421CE">
            <w:pPr>
              <w:numPr>
                <w:ilvl w:val="0"/>
                <w:numId w:val="14"/>
              </w:numPr>
              <w:spacing w:before="120" w:after="120" w:line="276" w:lineRule="auto"/>
              <w:ind w:left="605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Wnioskodawca będący:</w:t>
            </w:r>
          </w:p>
          <w:p w14:paraId="0B821FDC" w14:textId="77777777" w:rsidR="005421CE" w:rsidRPr="005421CE" w:rsidRDefault="005421CE" w:rsidP="00C820C5">
            <w:pPr>
              <w:numPr>
                <w:ilvl w:val="0"/>
                <w:numId w:val="29"/>
              </w:numPr>
              <w:spacing w:before="120" w:after="120" w:line="276" w:lineRule="auto"/>
              <w:ind w:left="105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podmiotem kontrolowanym przez jednostkę samorządu terytorialnego lub </w:t>
            </w:r>
          </w:p>
          <w:p w14:paraId="1A0D0075" w14:textId="77777777" w:rsidR="005421CE" w:rsidRPr="005421CE" w:rsidRDefault="005421CE" w:rsidP="00C820C5">
            <w:pPr>
              <w:numPr>
                <w:ilvl w:val="0"/>
                <w:numId w:val="29"/>
              </w:numPr>
              <w:spacing w:before="120" w:after="120" w:line="276" w:lineRule="auto"/>
              <w:ind w:left="1054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podmiotem zależnym od jednostki samorządu terytorialnego,</w:t>
            </w:r>
          </w:p>
          <w:p w14:paraId="7FD7518E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oświadcza, że na terenie, na którym posiada swoją siedzibę, nie obowiązują dyskryminujące akty prawne.</w:t>
            </w:r>
          </w:p>
          <w:p w14:paraId="0260B89D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dofinansowanie.</w:t>
            </w:r>
          </w:p>
          <w:p w14:paraId="5397149C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65FE79A4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0 pkt. </w:t>
            </w:r>
            <w:r w:rsidRPr="0099637D"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projekt nie ma pozytywnego wpływu na zasadę równości szans i niedyskryminacji, w tym dostępności dla osób z niepełnosprawnościami.</w:t>
            </w:r>
          </w:p>
          <w:p w14:paraId="6E8D78AB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ma pozytywny wpływ na zasadę równości szans i niedyskryminacji, w tym dostępności dla osób z niepełnosprawnościami.</w:t>
            </w:r>
          </w:p>
        </w:tc>
        <w:tc>
          <w:tcPr>
            <w:tcW w:w="1419" w:type="dxa"/>
          </w:tcPr>
          <w:p w14:paraId="445B2E22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40E531A9" w14:textId="77777777" w:rsidTr="008B6838">
        <w:trPr>
          <w:trHeight w:val="284"/>
        </w:trPr>
        <w:tc>
          <w:tcPr>
            <w:tcW w:w="559" w:type="dxa"/>
          </w:tcPr>
          <w:p w14:paraId="6990ABC8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377" w:type="dxa"/>
          </w:tcPr>
          <w:p w14:paraId="6E1AFBAF" w14:textId="463FDD9C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Projekt jest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zgodny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z Kartą praw podstawowych Unii Europejskiej i</w:t>
            </w:r>
            <w:r w:rsidR="00B76DA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Konwencją o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prawach osób niepełnosprawnych</w:t>
            </w:r>
          </w:p>
        </w:tc>
        <w:tc>
          <w:tcPr>
            <w:tcW w:w="9301" w:type="dxa"/>
            <w:vAlign w:val="center"/>
          </w:tcPr>
          <w:p w14:paraId="1C365539" w14:textId="2D4AD4DF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Wnioskodawca powinien zadeklarować, że sposób realizacji oraz zakres projektu nie będzie naruszać postanowień Karty praw podstawowych Unii Europejskiej z dnia 6 czerwca 2016 r. (Dz. Urz. UE C 202 z 7.06.2016</w:t>
            </w:r>
            <w:r w:rsidR="00AD7D01">
              <w:rPr>
                <w:rFonts w:ascii="Calibri" w:eastAsia="Calibri" w:hAnsi="Calibri" w:cs="Calibri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, str. 3890) oraz Konwencji o prawach osób niepełnosprawnych, sporządzonej w Nowym Jorku dnia 13 grudnia 2006 r. (Dz. U. z 2012 r. poz. 1169, z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późn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. zm.).</w:t>
            </w:r>
          </w:p>
          <w:p w14:paraId="6B702DDE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informacji zawartych we wniosku o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dofinansowanie.</w:t>
            </w:r>
          </w:p>
          <w:p w14:paraId="499C8666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14DCCE80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Wnioskodawca nie zadeklarował, że projekt nie będzie naruszał postanowień Karty praw podstawowych Unii Europejskiej i Konwencji o prawach osób niepełnosprawnych.</w:t>
            </w:r>
          </w:p>
          <w:p w14:paraId="75EAB700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Wnioskodawca zadeklarował, że projekt nie będzie naruszał postanowień Karty praw podstawowych Unii Europejskiej i Konwencji o prawach osób niepełnosprawnych.</w:t>
            </w:r>
          </w:p>
        </w:tc>
        <w:tc>
          <w:tcPr>
            <w:tcW w:w="1419" w:type="dxa"/>
          </w:tcPr>
          <w:p w14:paraId="487B652C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</w:tr>
      <w:tr w:rsidR="005421CE" w:rsidRPr="005421CE" w14:paraId="32B69109" w14:textId="77777777" w:rsidTr="008B6838">
        <w:trPr>
          <w:trHeight w:val="284"/>
        </w:trPr>
        <w:tc>
          <w:tcPr>
            <w:tcW w:w="559" w:type="dxa"/>
          </w:tcPr>
          <w:p w14:paraId="33AEF0B8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15</w:t>
            </w:r>
          </w:p>
        </w:tc>
        <w:tc>
          <w:tcPr>
            <w:tcW w:w="3377" w:type="dxa"/>
          </w:tcPr>
          <w:p w14:paraId="595591E4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Projekt jest zgodny z zasadą równości kobiet i mężczyzn</w:t>
            </w:r>
          </w:p>
        </w:tc>
        <w:tc>
          <w:tcPr>
            <w:tcW w:w="9301" w:type="dxa"/>
            <w:vAlign w:val="center"/>
          </w:tcPr>
          <w:p w14:paraId="42CAC9DE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Wnioskodawca powinien wskazać, w jaki sposób projekt będzie zgodny z zasadą równości kobiet i mężczyzn. Zgodność projektu zostanie uznana jeśli projekt ma pozytywny bądź neutralny wpływ na zasadę równości kobiet i mężczyzn</w:t>
            </w:r>
            <w:r w:rsidRPr="005421CE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8AF3504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Aby właściwie ocenić wpływ projektu na realizację tej zasady, Wnioskodawca najpierw powinien rozważyć, czy poprzez projekt można wyrównywać szanse osób, które w danym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obszarze, znajdują się w gorszym położeniu. Następnie Wnioskodawca powinien zaplanować działania przyczyniające się do wyrównania szans osób będących w gorszym położeniu. </w:t>
            </w:r>
          </w:p>
          <w:p w14:paraId="7491E5D1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Jeżeli Wnioskodawca stwierdzi, że w ramach projektu nie da się zrealizować żadnych działań w zakresie tej zasady, wtedy projekt może mieć neutralny wpływ na zasadę równości kobiet i mężczyzn. Wnioskodawca musi jednak przedstawić konkretne uzasadnienie, dlaczego jest to niemożliwe w danym projekcie.</w:t>
            </w:r>
          </w:p>
          <w:p w14:paraId="1C2A7D70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informacji zawartych we wniosku o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dofinansowanie.</w:t>
            </w:r>
          </w:p>
          <w:p w14:paraId="251AE491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13BF4EF8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nie jest zgodny z zasadą równości kobiet i mężczyzn.</w:t>
            </w:r>
          </w:p>
          <w:p w14:paraId="2D452DBA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projekt jest zgodny z zasadą równości kobiet i mężczyzn (tzn. wywiera pozytywny wpływ na tę zasadę lub jest wobec niej neutralny).</w:t>
            </w:r>
          </w:p>
        </w:tc>
        <w:tc>
          <w:tcPr>
            <w:tcW w:w="1419" w:type="dxa"/>
          </w:tcPr>
          <w:p w14:paraId="51F803CC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6DF59BA6" w14:textId="77777777" w:rsidTr="008B6838">
        <w:trPr>
          <w:trHeight w:val="284"/>
        </w:trPr>
        <w:tc>
          <w:tcPr>
            <w:tcW w:w="559" w:type="dxa"/>
          </w:tcPr>
          <w:p w14:paraId="20E6DDA3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16</w:t>
            </w:r>
          </w:p>
        </w:tc>
        <w:tc>
          <w:tcPr>
            <w:tcW w:w="3377" w:type="dxa"/>
          </w:tcPr>
          <w:p w14:paraId="0827B64B" w14:textId="09819421" w:rsidR="00B76DAC" w:rsidRDefault="00DE3727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Projekt został poddany</w:t>
            </w:r>
            <w:r w:rsidR="00C951EA">
              <w:rPr>
                <w:rFonts w:ascii="Calibri" w:eastAsia="Calibri" w:hAnsi="Calibri" w:cs="Calibri"/>
                <w:sz w:val="24"/>
                <w:szCs w:val="24"/>
              </w:rPr>
              <w:t xml:space="preserve"> ocen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</w:t>
            </w:r>
            <w:r w:rsidR="00C951EA">
              <w:rPr>
                <w:rFonts w:ascii="Calibri" w:eastAsia="Calibri" w:hAnsi="Calibri" w:cs="Calibri"/>
                <w:sz w:val="24"/>
                <w:szCs w:val="24"/>
              </w:rPr>
              <w:t xml:space="preserve"> oddziaływania na środowisko </w:t>
            </w:r>
          </w:p>
          <w:p w14:paraId="53D1881C" w14:textId="20F9E98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301" w:type="dxa"/>
            <w:vAlign w:val="center"/>
          </w:tcPr>
          <w:p w14:paraId="285F8878" w14:textId="5A51433C" w:rsidR="005421CE" w:rsidRPr="007A593F" w:rsidRDefault="005421CE" w:rsidP="005421CE">
            <w:pPr>
              <w:spacing w:before="120"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Ocenie podlega</w:t>
            </w:r>
            <w:r w:rsidR="00855281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,</w:t>
            </w:r>
            <w:r w:rsidR="00C951EA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czy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="00C951EA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w związku z:</w:t>
            </w:r>
          </w:p>
          <w:p w14:paraId="74032574" w14:textId="23066450" w:rsidR="005421CE" w:rsidRPr="005421CE" w:rsidRDefault="005421CE" w:rsidP="005421CE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ustawą z dnia 3 października 2008 r. o udostępnianiu informacji o środowisku i jego ochronie, udziale społeczeństwa w ochronie środowiska oraz o ocenach oddziaływania na środowisko (Dz.U. z 2022 r. poz. 1029 z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późn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 zm.)</w:t>
            </w:r>
            <w:r w:rsidR="00E3589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,</w:t>
            </w:r>
          </w:p>
          <w:p w14:paraId="37C0C662" w14:textId="1327F952" w:rsidR="005421CE" w:rsidRPr="005421CE" w:rsidRDefault="005421CE" w:rsidP="005421CE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ustawą z dnia 16 kwietnia 2004 r. o ochronie przyrody (Dz.U. z 2022 r. poz.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916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)</w:t>
            </w:r>
            <w:r w:rsidR="00E3589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,</w:t>
            </w:r>
          </w:p>
          <w:p w14:paraId="0F94CF01" w14:textId="705327D0" w:rsidR="00E75457" w:rsidRPr="007A593F" w:rsidRDefault="005421CE" w:rsidP="00B76DAC">
            <w:pPr>
              <w:widowControl w:val="0"/>
              <w:numPr>
                <w:ilvl w:val="0"/>
                <w:numId w:val="5"/>
              </w:numPr>
              <w:spacing w:after="20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ustawą z dnia 20 lipca 2017 r. Prawo wodne (Dz. U. z 202</w:t>
            </w:r>
            <w:r w:rsidR="00C30DA7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2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r., poz. </w:t>
            </w:r>
            <w:r w:rsidR="00C30DA7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2625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 z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późn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 zm.)</w:t>
            </w:r>
            <w:r w:rsidR="00E3589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,</w:t>
            </w:r>
          </w:p>
          <w:p w14:paraId="1E35445A" w14:textId="72647E1D" w:rsidR="004D1F83" w:rsidRPr="00B76DAC" w:rsidRDefault="00C951EA" w:rsidP="00B76DAC">
            <w:pPr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76DA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projekt podlegał ocenie oddziaływania na środowisko, </w:t>
            </w:r>
            <w:r w:rsidR="00703B2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o ile była wymagana, </w:t>
            </w:r>
            <w:r w:rsidRPr="00B76DAC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tj.:</w:t>
            </w:r>
          </w:p>
          <w:p w14:paraId="0590BD2D" w14:textId="73502467" w:rsidR="005421CE" w:rsidRPr="00B76DAC" w:rsidRDefault="005421CE" w:rsidP="007A593F">
            <w:pPr>
              <w:pStyle w:val="Akapitzlist"/>
              <w:numPr>
                <w:ilvl w:val="0"/>
                <w:numId w:val="3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before="100" w:beforeAutospacing="1" w:after="200" w:line="276" w:lineRule="auto"/>
              <w:ind w:left="629" w:hanging="425"/>
              <w:rPr>
                <w:rFonts w:ascii="Calibri" w:eastAsia="Calibri" w:hAnsi="Calibri" w:cs="Calibri"/>
              </w:rPr>
            </w:pPr>
            <w:r w:rsidRPr="00B76DAC">
              <w:rPr>
                <w:rFonts w:ascii="Calibri" w:eastAsia="Calibri" w:hAnsi="Calibri" w:cs="Calibri"/>
              </w:rPr>
              <w:t>czy dla projektu wydano ostateczną decyzję/decyzje o środowiskowych uwarunkowaniach obejmującą zakres projektu ujęty we wniosku o dofinansowanie</w:t>
            </w:r>
            <w:r w:rsidR="00B76DAC">
              <w:rPr>
                <w:rFonts w:ascii="Calibri" w:eastAsia="Calibri" w:hAnsi="Calibri" w:cs="Calibri"/>
                <w:lang w:val="pl-PL"/>
              </w:rPr>
              <w:t>,</w:t>
            </w:r>
          </w:p>
          <w:p w14:paraId="1CB616DB" w14:textId="10E7D02D" w:rsidR="005421CE" w:rsidRPr="00B76DAC" w:rsidRDefault="00703B2C" w:rsidP="007A593F">
            <w:pPr>
              <w:pStyle w:val="Akapitzlist"/>
              <w:numPr>
                <w:ilvl w:val="0"/>
                <w:numId w:val="3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before="100" w:beforeAutospacing="1" w:after="200" w:line="276" w:lineRule="auto"/>
              <w:ind w:left="629" w:hanging="425"/>
              <w:rPr>
                <w:rFonts w:ascii="Calibri" w:eastAsia="Calibri" w:hAnsi="Calibri" w:cs="Calibri"/>
                <w:lang w:bidi="pl-PL"/>
              </w:rPr>
            </w:pPr>
            <w:r>
              <w:rPr>
                <w:rFonts w:ascii="Calibri" w:eastAsia="Calibri" w:hAnsi="Calibri" w:cs="Calibri"/>
                <w:lang w:val="pl-PL"/>
              </w:rPr>
              <w:lastRenderedPageBreak/>
              <w:t xml:space="preserve">czy, </w:t>
            </w:r>
            <w:r w:rsidR="005421CE" w:rsidRPr="00B76DAC">
              <w:rPr>
                <w:rFonts w:ascii="Calibri" w:eastAsia="Calibri" w:hAnsi="Calibri" w:cs="Calibri"/>
              </w:rPr>
              <w:t>w przypadku przedłożenia kilku decyzji o środowiskowych uwarunkowaniach</w:t>
            </w:r>
            <w:r w:rsidR="007909B8">
              <w:rPr>
                <w:rFonts w:ascii="Calibri" w:eastAsia="Calibri" w:hAnsi="Calibri" w:cs="Calibri"/>
                <w:lang w:val="pl-PL"/>
              </w:rPr>
              <w:t>,</w:t>
            </w:r>
            <w:r w:rsidR="005421CE" w:rsidRPr="00B76DAC">
              <w:rPr>
                <w:rFonts w:ascii="Calibri" w:eastAsia="Calibri" w:hAnsi="Calibri" w:cs="Calibri"/>
              </w:rPr>
              <w:t xml:space="preserve"> przedstawiona dokumentacja uwzględnia skumulowany wpływ projektu na środowisko</w:t>
            </w:r>
            <w:r w:rsidR="007909B8">
              <w:rPr>
                <w:rFonts w:ascii="Calibri" w:eastAsia="Calibri" w:hAnsi="Calibri" w:cs="Calibri"/>
                <w:lang w:val="pl-PL"/>
              </w:rPr>
              <w:t>,</w:t>
            </w:r>
          </w:p>
          <w:p w14:paraId="27875933" w14:textId="71608D1F" w:rsidR="00C951EA" w:rsidRPr="00B76DAC" w:rsidRDefault="00C951EA" w:rsidP="007A593F">
            <w:pPr>
              <w:pStyle w:val="Akapitzlist"/>
              <w:numPr>
                <w:ilvl w:val="0"/>
                <w:numId w:val="3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before="100" w:beforeAutospacing="1" w:after="200" w:line="276" w:lineRule="auto"/>
              <w:ind w:left="629" w:hanging="425"/>
              <w:rPr>
                <w:rFonts w:ascii="Calibri" w:eastAsia="Calibri" w:hAnsi="Calibri" w:cs="Calibri"/>
                <w:lang w:bidi="pl-PL"/>
              </w:rPr>
            </w:pPr>
            <w:r w:rsidRPr="00B76DAC">
              <w:rPr>
                <w:rFonts w:ascii="Calibri" w:eastAsia="Calibri" w:hAnsi="Calibri" w:cs="Calibri"/>
                <w:iCs/>
                <w:lang w:bidi="pl-PL"/>
              </w:rPr>
              <w:t>czy wzięto pod uwagę ocenę rozwiązań alternatywnych</w:t>
            </w:r>
            <w:r w:rsidR="007909B8">
              <w:rPr>
                <w:rFonts w:ascii="Calibri" w:eastAsia="Calibri" w:hAnsi="Calibri" w:cs="Calibri"/>
                <w:iCs/>
                <w:lang w:val="pl-PL" w:bidi="pl-PL"/>
              </w:rPr>
              <w:t>,</w:t>
            </w:r>
          </w:p>
          <w:p w14:paraId="1097892F" w14:textId="0E8F2603" w:rsidR="005421CE" w:rsidRPr="00B76DAC" w:rsidRDefault="005421CE" w:rsidP="007A593F">
            <w:pPr>
              <w:pStyle w:val="Akapitzlist"/>
              <w:numPr>
                <w:ilvl w:val="0"/>
                <w:numId w:val="30"/>
              </w:numPr>
              <w:tabs>
                <w:tab w:val="left" w:pos="277"/>
              </w:tabs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629" w:hanging="425"/>
              <w:rPr>
                <w:rFonts w:ascii="Calibri" w:eastAsia="Calibri" w:hAnsi="Calibri" w:cs="Calibri"/>
                <w:i/>
                <w:lang w:bidi="pl-PL"/>
              </w:rPr>
            </w:pPr>
            <w:r w:rsidRPr="00B76DAC">
              <w:rPr>
                <w:rFonts w:ascii="Calibri" w:eastAsia="Calibri" w:hAnsi="Calibri" w:cs="Calibri"/>
                <w:lang w:bidi="pl-PL"/>
              </w:rPr>
              <w:t xml:space="preserve">czy </w:t>
            </w:r>
            <w:r w:rsidRPr="00B76DAC">
              <w:rPr>
                <w:rFonts w:ascii="Calibri" w:eastAsia="Calibri" w:hAnsi="Calibri" w:cs="Calibri"/>
              </w:rPr>
              <w:t>decyzja</w:t>
            </w:r>
            <w:r w:rsidRPr="00B76DAC">
              <w:rPr>
                <w:rFonts w:ascii="Calibri" w:eastAsia="Calibri" w:hAnsi="Calibri" w:cs="Calibri"/>
                <w:lang w:bidi="pl-PL"/>
              </w:rPr>
              <w:t>/</w:t>
            </w:r>
            <w:r w:rsidR="00C820C5">
              <w:rPr>
                <w:rFonts w:ascii="Calibri" w:eastAsia="Calibri" w:hAnsi="Calibri" w:cs="Calibri"/>
                <w:lang w:val="pl-PL" w:bidi="pl-PL"/>
              </w:rPr>
              <w:t>-</w:t>
            </w:r>
            <w:r w:rsidRPr="00B76DAC">
              <w:rPr>
                <w:rFonts w:ascii="Calibri" w:eastAsia="Calibri" w:hAnsi="Calibri" w:cs="Calibri"/>
                <w:lang w:bidi="pl-PL"/>
              </w:rPr>
              <w:t xml:space="preserve">e o środowiskowych uwarunkowaniach </w:t>
            </w:r>
            <w:r w:rsidR="00C820C5">
              <w:rPr>
                <w:rFonts w:ascii="Calibri" w:eastAsia="Calibri" w:hAnsi="Calibri" w:cs="Calibri"/>
                <w:lang w:bidi="pl-PL"/>
              </w:rPr>
              <w:t>uwzględnia</w:t>
            </w:r>
            <w:r w:rsidR="00C820C5">
              <w:rPr>
                <w:rFonts w:ascii="Calibri" w:eastAsia="Calibri" w:hAnsi="Calibri" w:cs="Calibri"/>
                <w:lang w:val="pl-PL" w:bidi="pl-PL"/>
              </w:rPr>
              <w:t>/-j</w:t>
            </w:r>
            <w:r w:rsidRPr="00B76DAC">
              <w:rPr>
                <w:rFonts w:ascii="Calibri" w:eastAsia="Calibri" w:hAnsi="Calibri" w:cs="Calibri"/>
                <w:lang w:bidi="pl-PL"/>
              </w:rPr>
              <w:t>ą zapisy dotyczące Planów zadań ochronnych dla obszarów Natura 2000 lub czy złożono stosowne oświadczenie RDOŚ.</w:t>
            </w:r>
          </w:p>
          <w:p w14:paraId="20767757" w14:textId="2BFABC3E" w:rsidR="005421CE" w:rsidRPr="00970702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A076F6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</w:t>
            </w:r>
            <w:r w:rsidRPr="00A076F6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informacji</w:t>
            </w:r>
            <w:r w:rsidRPr="00A076F6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zawartych we wniosku o dofinansowanie wraz z załącznikami.</w:t>
            </w:r>
          </w:p>
          <w:p w14:paraId="7BCCFEF9" w14:textId="77777777" w:rsidR="005421CE" w:rsidRPr="005421CE" w:rsidRDefault="005421CE" w:rsidP="0051435D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pkt., przy czym:</w:t>
            </w:r>
          </w:p>
          <w:p w14:paraId="0A8F1F5D" w14:textId="77777777" w:rsidR="007909B8" w:rsidRDefault="005421CE" w:rsidP="005421CE">
            <w:pPr>
              <w:spacing w:before="120" w:after="200" w:line="276" w:lineRule="auto"/>
              <w:ind w:hanging="11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421CE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0 pkt. </w:t>
            </w:r>
            <w:r w:rsidRPr="005421C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– </w:t>
            </w:r>
            <w:r w:rsidR="009D3B2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projekt podlegał ocenie oddziaływania na środowisko i nie spełniono warunków określonych w punktach </w:t>
            </w:r>
            <w:r w:rsidR="00C820C5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1)</w:t>
            </w:r>
            <w:r w:rsidR="009D3B2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– </w:t>
            </w:r>
            <w:r w:rsidR="00C820C5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4)</w:t>
            </w:r>
            <w:r w:rsidR="009D3B2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.</w:t>
            </w:r>
            <w:r w:rsidR="009D3B2B" w:rsidRPr="005421CE" w:rsidDel="009D3B2B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</w:p>
          <w:p w14:paraId="7EE3E473" w14:textId="2A62CC5E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1 pkt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– </w:t>
            </w:r>
            <w:r w:rsidR="009D3B2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projekt spełnia warunki określone w punktach </w:t>
            </w:r>
            <w:r w:rsidR="00C820C5">
              <w:rPr>
                <w:rFonts w:ascii="Calibri" w:eastAsia="Calibri" w:hAnsi="Calibri" w:cs="Times New Roman"/>
                <w:bCs/>
                <w:sz w:val="24"/>
                <w:szCs w:val="24"/>
              </w:rPr>
              <w:t>1)</w:t>
            </w:r>
            <w:r w:rsidR="009D3B2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</w:t>
            </w:r>
            <w:r w:rsidR="00C820C5">
              <w:rPr>
                <w:rFonts w:ascii="Calibri" w:eastAsia="Calibri" w:hAnsi="Calibri" w:cs="Times New Roman"/>
                <w:bCs/>
                <w:sz w:val="24"/>
                <w:szCs w:val="24"/>
              </w:rPr>
              <w:t>4)</w:t>
            </w:r>
            <w:r w:rsidR="009D3B2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lub ocena oddziaływania na środowisko nie była wymagana dla projektu</w:t>
            </w:r>
            <w:r w:rsidR="0041189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41189C" w:rsidRPr="00BF51E8">
              <w:rPr>
                <w:rFonts w:ascii="Calibri" w:hAnsi="Calibri" w:cs="Calibri"/>
              </w:rPr>
              <w:t>lub nie było wymagane przeprowadzenie postępowani</w:t>
            </w:r>
            <w:r w:rsidR="0041189C">
              <w:rPr>
                <w:rFonts w:ascii="Calibri" w:hAnsi="Calibri" w:cs="Calibri"/>
              </w:rPr>
              <w:t>a</w:t>
            </w:r>
            <w:r w:rsidR="0041189C" w:rsidRPr="00BF51E8">
              <w:rPr>
                <w:rFonts w:ascii="Calibri" w:hAnsi="Calibri" w:cs="Calibri"/>
              </w:rPr>
              <w:t xml:space="preserve"> </w:t>
            </w:r>
            <w:proofErr w:type="spellStart"/>
            <w:r w:rsidR="0041189C" w:rsidRPr="00BF51E8">
              <w:rPr>
                <w:rFonts w:ascii="Calibri" w:hAnsi="Calibri" w:cs="Calibri"/>
              </w:rPr>
              <w:t>ws</w:t>
            </w:r>
            <w:proofErr w:type="spellEnd"/>
            <w:r w:rsidR="0041189C" w:rsidRPr="00BF51E8">
              <w:rPr>
                <w:rFonts w:ascii="Calibri" w:hAnsi="Calibri" w:cs="Calibri"/>
              </w:rPr>
              <w:t>. wydania decyzji środowiskowej</w:t>
            </w:r>
            <w:r w:rsidR="009D3B2B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</w:tcPr>
          <w:p w14:paraId="07C00E6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1</w:t>
            </w:r>
          </w:p>
        </w:tc>
      </w:tr>
      <w:tr w:rsidR="005421CE" w:rsidRPr="005421CE" w14:paraId="7BB23867" w14:textId="77777777" w:rsidTr="008B6838">
        <w:trPr>
          <w:trHeight w:val="284"/>
        </w:trPr>
        <w:tc>
          <w:tcPr>
            <w:tcW w:w="559" w:type="dxa"/>
          </w:tcPr>
          <w:p w14:paraId="0261106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3377" w:type="dxa"/>
          </w:tcPr>
          <w:p w14:paraId="60BF7591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Zdolność projektu do adaptacji do zmian klimatu</w:t>
            </w:r>
          </w:p>
        </w:tc>
        <w:tc>
          <w:tcPr>
            <w:tcW w:w="9301" w:type="dxa"/>
            <w:vAlign w:val="center"/>
          </w:tcPr>
          <w:p w14:paraId="2C0E2B53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podlega, czy w projekcie przewidziano rozwiązania dotyczące adaptacji do zmian klimatu, wynikające z analizy wrażliwości projektu na zmianę klimatu zgodnie z Wytycznymi technicznymi: </w:t>
            </w:r>
          </w:p>
          <w:p w14:paraId="36A0CBFF" w14:textId="77777777" w:rsidR="005421CE" w:rsidRPr="005421CE" w:rsidRDefault="006A4233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hyperlink r:id="rId9" w:history="1">
              <w:r w:rsidR="005421CE" w:rsidRPr="005421CE">
                <w:rPr>
                  <w:rFonts w:ascii="Calibri" w:eastAsia="Calibri" w:hAnsi="Calibri" w:cs="Calibri"/>
                  <w:bCs/>
                  <w:color w:val="0000FF"/>
                  <w:sz w:val="24"/>
                  <w:szCs w:val="24"/>
                  <w:u w:val="single"/>
                </w:rPr>
                <w:t>https://eur-lex.europa.eu/legal-content/PL/TXT/HTML/?uri=OJ:C:2021:373:FULL&amp;from=EN</w:t>
              </w:r>
            </w:hyperlink>
          </w:p>
          <w:p w14:paraId="51BEBBFE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Przystosowanie się do zmiany klimatu podejmowane w związku z wdrażaniem projektów infrastrukturalnych koncentruje się na zapewnieniu odpowiedniego poziomu odporności na oddziaływanie zmian klimatu.</w:t>
            </w:r>
          </w:p>
          <w:p w14:paraId="1D3EEE9F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Przez zmiany klimatu należy rozumieć zdarzenia takie jak powodzie, nawalne deszcze, susze, fale upałów, pożary, burze, osuwiska i huragany, a także zjawiska o charakterze długoterminowym, np. prognozowane podnoszenie się poziomu mórz i zmiany średniej ilości opadów, zawartości wilgoci w glebie i wilgotności powietrza.</w:t>
            </w:r>
          </w:p>
          <w:p w14:paraId="1254FA18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zawartych we wniosku o dofinansowanie wraz z załącznikami.</w:t>
            </w:r>
          </w:p>
          <w:p w14:paraId="610B2443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1 pkt., przy czym:</w:t>
            </w:r>
          </w:p>
          <w:p w14:paraId="037B0B5D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w projekcie nie przewidziano rozwiązań dotyczących adaptacji do zmian klimatu.</w:t>
            </w:r>
          </w:p>
          <w:p w14:paraId="226FAD47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w projekcie przewidziano rozwiązania dotyczące adaptacji do zmian klimatu.</w:t>
            </w:r>
          </w:p>
        </w:tc>
        <w:tc>
          <w:tcPr>
            <w:tcW w:w="1419" w:type="dxa"/>
          </w:tcPr>
          <w:p w14:paraId="31574301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</w:tr>
      <w:tr w:rsidR="005421CE" w:rsidRPr="005421CE" w14:paraId="1B49B379" w14:textId="77777777" w:rsidTr="008B6838">
        <w:trPr>
          <w:trHeight w:val="284"/>
        </w:trPr>
        <w:tc>
          <w:tcPr>
            <w:tcW w:w="559" w:type="dxa"/>
          </w:tcPr>
          <w:p w14:paraId="7F2ACCB6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18</w:t>
            </w:r>
          </w:p>
        </w:tc>
        <w:tc>
          <w:tcPr>
            <w:tcW w:w="3377" w:type="dxa"/>
          </w:tcPr>
          <w:p w14:paraId="27FC67B7" w14:textId="3C4386FB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Projekt jest zgodny z zasadą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zrównoważonego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rozwoju oraz zasadą „nie czyń poważnych szkód” (</w:t>
            </w:r>
            <w:r w:rsidR="00855281" w:rsidRPr="00BB245F">
              <w:rPr>
                <w:rFonts w:cstheme="minorHAnsi"/>
                <w:sz w:val="24"/>
                <w:szCs w:val="24"/>
              </w:rPr>
              <w:t xml:space="preserve">z ang. DNSH </w:t>
            </w:r>
            <w:r w:rsidR="00855281">
              <w:rPr>
                <w:rFonts w:cstheme="minorHAnsi"/>
                <w:sz w:val="24"/>
                <w:szCs w:val="24"/>
              </w:rPr>
              <w:t xml:space="preserve">–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Do No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Significant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Harm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9301" w:type="dxa"/>
            <w:vAlign w:val="center"/>
          </w:tcPr>
          <w:p w14:paraId="1923AC3A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podlega, czy Wnioskodawca spełnia zasadę zrównoważonego rozwoju poprzez stosowanie właściwych rozwiązań podczas realizacji projektu. Stosownie do charakteru projektu, Wnioskodawca powinien uwzględnić wymogi ochrony środowiska i efektywnego gospodarowania zasobami.</w:t>
            </w:r>
          </w:p>
          <w:p w14:paraId="0892F142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Zgodnie z ww. zasadą wsparcie może być udzielone jedynie takim projektom, które nie prowadzą do degradacji lub znacznego pogorszenia stanu środowiska naturalnego. </w:t>
            </w:r>
          </w:p>
          <w:p w14:paraId="083E2FB2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Projekt jest zgodny z zasadą zrównoważonego rozwoju, jeśli:</w:t>
            </w:r>
          </w:p>
          <w:p w14:paraId="54B8746A" w14:textId="6BF4F252" w:rsidR="005421CE" w:rsidRPr="005421CE" w:rsidRDefault="005421CE" w:rsidP="005421CE">
            <w:pPr>
              <w:numPr>
                <w:ilvl w:val="0"/>
                <w:numId w:val="12"/>
              </w:numPr>
              <w:spacing w:before="120" w:after="120" w:line="276" w:lineRule="auto"/>
              <w:ind w:left="403" w:hanging="283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ramach projektu stosowane będą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praktyki w zakresie zrównoważonych zamówień publicznych, zgodnie z polityką i priorytetami krajowymi</w:t>
            </w:r>
            <w:r w:rsidR="00E3589D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356DB8D" w14:textId="571E43AE" w:rsidR="005421CE" w:rsidRPr="005421CE" w:rsidRDefault="005421CE" w:rsidP="005421CE">
            <w:pPr>
              <w:numPr>
                <w:ilvl w:val="0"/>
                <w:numId w:val="12"/>
              </w:numPr>
              <w:spacing w:before="120" w:after="120" w:line="276" w:lineRule="auto"/>
              <w:ind w:left="403" w:hanging="283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recyklingu; obniżenie emisji z transportu materiałów ciężkich</w:t>
            </w:r>
            <w:r w:rsidR="00E3589D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</w:p>
          <w:p w14:paraId="76319047" w14:textId="7AAE977C" w:rsidR="005421CE" w:rsidRPr="005421CE" w:rsidRDefault="005421CE" w:rsidP="005421CE">
            <w:pPr>
              <w:numPr>
                <w:ilvl w:val="0"/>
                <w:numId w:val="12"/>
              </w:numPr>
              <w:spacing w:before="120" w:after="12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realizacja projektu prowadzona będzie w sposób gwarantujący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odporność wspartej infrastruktury na zagrożenia klimatyczne i</w:t>
            </w:r>
            <w:r w:rsidR="009D3B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katastrofy naturalne</w:t>
            </w:r>
            <w:r w:rsidR="00E3589D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6678EEC0" w14:textId="0898E947" w:rsidR="005421CE" w:rsidRPr="005421CE" w:rsidRDefault="005421CE" w:rsidP="005421CE">
            <w:pPr>
              <w:numPr>
                <w:ilvl w:val="0"/>
                <w:numId w:val="12"/>
              </w:numPr>
              <w:spacing w:before="120" w:after="12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realizacja projektu prowadzona będzie w sposób nie powodujący degradacji naturalnych siedlisk</w:t>
            </w:r>
            <w:r w:rsidR="00E3589D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</w:p>
          <w:p w14:paraId="486C1870" w14:textId="77777777" w:rsidR="005421CE" w:rsidRPr="005421CE" w:rsidRDefault="005421CE" w:rsidP="005421CE">
            <w:pPr>
              <w:numPr>
                <w:ilvl w:val="0"/>
                <w:numId w:val="12"/>
              </w:numPr>
              <w:spacing w:before="120" w:after="120" w:line="276" w:lineRule="auto"/>
              <w:ind w:left="40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realizacja projektu będzie przyczyniać się do rozwoju niezawodnej, zrównoważonej i odpornej infrastruktury dobrej jakości, w tym infrastruktury regionalnej wspierającej rozwój gospodarczy i dobrobyt ludzi. </w:t>
            </w:r>
          </w:p>
          <w:p w14:paraId="75F24E9C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Jednocześnie ocenie podlega czy projekt wpisuje się w rodzaje działań przedstawione w Programie (uznane za zgodne z zasadą „nie czyń poważnych szkód”). </w:t>
            </w:r>
          </w:p>
          <w:p w14:paraId="6BBEB346" w14:textId="3EAF3715" w:rsidR="005421CE" w:rsidRPr="005421CE" w:rsidRDefault="005421CE" w:rsidP="005421CE">
            <w:pPr>
              <w:spacing w:before="24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W ramach potwierdzenia spełnienia zasady „nie czyń poważnych szkód” należy odnieść się do Oceny „Do No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Significant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Harm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” (DNSH) dla rodzajów działań, która stanowi załącznik nr 10 do Prognozy Oddziaływania na Środowisko projektu FEPW, link: </w:t>
            </w:r>
            <w:hyperlink r:id="rId10" w:history="1">
              <w:r w:rsidRPr="005421C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https://www.polskawschodnia.gov.pl/media/111331/Zasada_DNSH_sierpien2022.pdf</w:t>
              </w:r>
            </w:hyperlink>
            <w:r w:rsidRPr="005421CE">
              <w:rPr>
                <w:rFonts w:ascii="Calibri" w:eastAsia="Calibri" w:hAnsi="Calibri" w:cs="Calibri"/>
                <w:sz w:val="24"/>
                <w:szCs w:val="24"/>
              </w:rPr>
              <w:t>. Ocenie będzie podlegać</w:t>
            </w:r>
            <w:r w:rsidR="00A360CC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czy dany projekt spełnia wymogi określone dla rodzajów działań ujętych w ww. Ocenie. </w:t>
            </w:r>
          </w:p>
          <w:p w14:paraId="0DF08755" w14:textId="67F04229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Dodatkowo istotne aspekty projektu, mające wpływ na spełnienie zasady zrównoważonego rozwoju są oceniane w</w:t>
            </w:r>
            <w:r w:rsidR="009D3B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ramach następujących kryteriów:</w:t>
            </w:r>
          </w:p>
          <w:p w14:paraId="09C3D234" w14:textId="4EF0A588" w:rsidR="00163E9F" w:rsidRPr="00163E9F" w:rsidRDefault="005421CE" w:rsidP="007909B8">
            <w:pPr>
              <w:spacing w:before="120" w:after="120" w:line="276" w:lineRule="auto"/>
              <w:ind w:left="403" w:hanging="403"/>
              <w:rPr>
                <w:rFonts w:cstheme="minorHAnsi"/>
                <w:i/>
                <w:i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•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163E9F" w:rsidRPr="00163E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Projekt został poddany ocenie oddziaływania na środowisko</w:t>
            </w:r>
            <w:r w:rsidR="00794F3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="00163E9F" w:rsidRPr="00163E9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14:paraId="7A600E00" w14:textId="0B60A880" w:rsidR="005421CE" w:rsidRPr="005421CE" w:rsidRDefault="005421CE" w:rsidP="005421CE">
            <w:pPr>
              <w:spacing w:before="120" w:after="120" w:line="276" w:lineRule="auto"/>
              <w:ind w:left="403" w:hanging="403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•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A360CC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Zdolność projektu do adaptacji do zmian klimatu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20613F4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informacji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zawartych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we wniosku o dofinansowanie wraz z załącznikami.</w:t>
            </w:r>
          </w:p>
          <w:p w14:paraId="4E385E84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</w:rPr>
              <w:t>Możliwe jest przyznanie 0 albo 1 pkt., przy czym:</w:t>
            </w:r>
          </w:p>
          <w:p w14:paraId="638ED6DA" w14:textId="2D2EAFBB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0 pkt.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projekt nie jest zgodny z zasadą zrównoważonego rozwoju lub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projekt nie jest zgodny z zasadą </w:t>
            </w:r>
            <w:r w:rsidR="00A360CC">
              <w:rPr>
                <w:rFonts w:ascii="Calibri" w:eastAsia="Calibri" w:hAnsi="Calibri" w:cs="Calibri"/>
                <w:sz w:val="24"/>
                <w:szCs w:val="24"/>
              </w:rPr>
              <w:t>„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nie czyń poważnych szkód</w:t>
            </w:r>
            <w:r w:rsidR="00A360CC">
              <w:rPr>
                <w:rFonts w:ascii="Calibri" w:eastAsia="Calibri" w:hAnsi="Calibri" w:cs="Calibri"/>
                <w:sz w:val="24"/>
                <w:szCs w:val="24"/>
              </w:rPr>
              <w:t>”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9D54E6C" w14:textId="5FF3514E" w:rsidR="005421CE" w:rsidRPr="00430554" w:rsidRDefault="005421CE" w:rsidP="00430554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pkt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jest zgodny z zasadą zrównoważonego rozwoju i projekt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jest zgodny z zasadą „nie czyń poważnych szkód”. Dla przyznania 1 pkt konieczne jest także uzyskanie po 1 pkt</w:t>
            </w:r>
            <w:r w:rsidR="009E1817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w kryteriach: </w:t>
            </w:r>
            <w:r w:rsidR="00163E9F" w:rsidRPr="00163E9F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Projekt został poddany ocenie oddziaływania na środowisko</w:t>
            </w:r>
            <w:r w:rsidR="00163E9F">
              <w:rPr>
                <w:rFonts w:cstheme="minorHAns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7909B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E181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Zdolność projektu do adaptacji do zmian klimatu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1419" w:type="dxa"/>
          </w:tcPr>
          <w:p w14:paraId="072E6E4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</w:tr>
      <w:tr w:rsidR="005421CE" w:rsidRPr="005421CE" w14:paraId="4F20EE21" w14:textId="77777777" w:rsidTr="009E1817">
        <w:trPr>
          <w:trHeight w:val="380"/>
        </w:trPr>
        <w:tc>
          <w:tcPr>
            <w:tcW w:w="559" w:type="dxa"/>
            <w:tcBorders>
              <w:bottom w:val="single" w:sz="12" w:space="0" w:color="auto"/>
            </w:tcBorders>
          </w:tcPr>
          <w:p w14:paraId="7576F156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3377" w:type="dxa"/>
            <w:tcBorders>
              <w:bottom w:val="single" w:sz="12" w:space="0" w:color="auto"/>
            </w:tcBorders>
          </w:tcPr>
          <w:p w14:paraId="6F155BE9" w14:textId="5E25221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Kompletność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i spójność informacji przedstawionych w</w:t>
            </w:r>
            <w:r w:rsidR="009D3B2B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dokumentacji projektowej </w:t>
            </w:r>
          </w:p>
        </w:tc>
        <w:tc>
          <w:tcPr>
            <w:tcW w:w="9301" w:type="dxa"/>
            <w:tcBorders>
              <w:bottom w:val="single" w:sz="12" w:space="0" w:color="auto"/>
            </w:tcBorders>
            <w:vAlign w:val="center"/>
          </w:tcPr>
          <w:p w14:paraId="2173FA99" w14:textId="508CA708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Ocenie podlega</w:t>
            </w:r>
            <w:r w:rsidR="009E181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czy:</w:t>
            </w:r>
          </w:p>
          <w:p w14:paraId="79618A48" w14:textId="399B04C1" w:rsidR="005421CE" w:rsidRPr="005421CE" w:rsidRDefault="005421CE" w:rsidP="005421CE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dołączono wszystkie wymagane załączniki zgodnie z instrukcją wypełniania wniosku</w:t>
            </w:r>
            <w:r w:rsidR="00F1268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2E02F008" w14:textId="540425CC" w:rsidR="005421CE" w:rsidRPr="005421CE" w:rsidRDefault="005421CE" w:rsidP="005421CE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załączniki do wniosku są prawidłowo przygotowane, ważne (aktualne) i zgodne z odpowiednimi polskimi oraz unijnymi przepisami</w:t>
            </w:r>
            <w:r w:rsidR="00F12684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41BF30C2" w14:textId="77777777" w:rsidR="005421CE" w:rsidRPr="005421CE" w:rsidRDefault="005421CE" w:rsidP="005421CE">
            <w:pPr>
              <w:numPr>
                <w:ilvl w:val="0"/>
                <w:numId w:val="2"/>
              </w:numPr>
              <w:spacing w:before="120" w:after="120" w:line="276" w:lineRule="auto"/>
              <w:ind w:left="419" w:hanging="425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przedstawiono spójne dane oraz tożsame założenia we wniosku o dofinansowanie oraz stosownych załącznikach do wniosku.</w:t>
            </w:r>
          </w:p>
          <w:p w14:paraId="5EBE51C0" w14:textId="4122D2B2" w:rsid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Ocena na podstawie informacji zawartych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we wniosku o dofinansowanie wraz z załącznikami.</w:t>
            </w:r>
          </w:p>
          <w:p w14:paraId="5C2E48A4" w14:textId="362BC5AF" w:rsidR="00970702" w:rsidRPr="00A076F6" w:rsidRDefault="00970702" w:rsidP="00970702">
            <w:pPr>
              <w:spacing w:before="120" w:after="200" w:line="276" w:lineRule="auto"/>
              <w:ind w:hanging="11"/>
              <w:rPr>
                <w:rStyle w:val="ui-provider"/>
                <w:sz w:val="24"/>
                <w:szCs w:val="24"/>
              </w:rPr>
            </w:pPr>
            <w:r w:rsidRPr="00A076F6">
              <w:rPr>
                <w:rStyle w:val="ui-provider"/>
                <w:sz w:val="24"/>
                <w:szCs w:val="24"/>
              </w:rPr>
              <w:t>Aby uzyskać 1 pkt w ramach kryterium należy spełnić wszystkie wymagania zawarte w</w:t>
            </w:r>
            <w:r w:rsidR="009D3B2B">
              <w:rPr>
                <w:rStyle w:val="ui-provider"/>
                <w:sz w:val="24"/>
                <w:szCs w:val="24"/>
              </w:rPr>
              <w:t> </w:t>
            </w:r>
            <w:r>
              <w:rPr>
                <w:rStyle w:val="ui-provider"/>
                <w:sz w:val="24"/>
                <w:szCs w:val="24"/>
              </w:rPr>
              <w:t>literach a</w:t>
            </w:r>
            <w:r w:rsidR="009D08E4">
              <w:rPr>
                <w:rStyle w:val="ui-provider"/>
                <w:sz w:val="24"/>
                <w:szCs w:val="24"/>
              </w:rPr>
              <w:t>)</w:t>
            </w:r>
            <w:r w:rsidR="009D3B2B">
              <w:rPr>
                <w:rStyle w:val="ui-provider"/>
                <w:sz w:val="24"/>
                <w:szCs w:val="24"/>
              </w:rPr>
              <w:t xml:space="preserve"> – </w:t>
            </w:r>
            <w:r>
              <w:rPr>
                <w:rStyle w:val="ui-provider"/>
                <w:sz w:val="24"/>
                <w:szCs w:val="24"/>
              </w:rPr>
              <w:t>c</w:t>
            </w:r>
            <w:r w:rsidR="009D08E4">
              <w:rPr>
                <w:rStyle w:val="ui-provider"/>
                <w:sz w:val="24"/>
                <w:szCs w:val="24"/>
              </w:rPr>
              <w:t>)</w:t>
            </w:r>
            <w:r>
              <w:rPr>
                <w:rStyle w:val="ui-provider"/>
                <w:sz w:val="24"/>
                <w:szCs w:val="24"/>
              </w:rPr>
              <w:t>.</w:t>
            </w:r>
            <w:r w:rsidRPr="00A076F6">
              <w:rPr>
                <w:rStyle w:val="ui-provider"/>
                <w:sz w:val="24"/>
                <w:szCs w:val="24"/>
              </w:rPr>
              <w:t xml:space="preserve"> </w:t>
            </w:r>
          </w:p>
          <w:p w14:paraId="46531355" w14:textId="33515853" w:rsidR="005421CE" w:rsidRPr="005421CE" w:rsidRDefault="005421CE" w:rsidP="009D3B2B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1 pkt</w:t>
            </w:r>
            <w:r w:rsidR="009E1817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, przy czym:</w:t>
            </w:r>
          </w:p>
          <w:p w14:paraId="7C1982E2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0 pkt. </w:t>
            </w:r>
            <w:r w:rsidRPr="009E1817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nie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potwierdzono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kompletności i spójności informacji przedstawionych w dokumentacji projektowej.</w:t>
            </w:r>
          </w:p>
          <w:p w14:paraId="79BF2497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1 pkt </w:t>
            </w:r>
            <w:r w:rsidRPr="009E1817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potwierdzono kompletność i spójność informacji przedstawionych w dokumentacji projektowej.</w:t>
            </w:r>
          </w:p>
        </w:tc>
        <w:tc>
          <w:tcPr>
            <w:tcW w:w="1419" w:type="dxa"/>
            <w:tcBorders>
              <w:bottom w:val="single" w:sz="12" w:space="0" w:color="auto"/>
            </w:tcBorders>
          </w:tcPr>
          <w:p w14:paraId="34EBA4E0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0 albo 1</w:t>
            </w:r>
          </w:p>
        </w:tc>
      </w:tr>
      <w:tr w:rsidR="005421CE" w:rsidRPr="005421CE" w14:paraId="16494435" w14:textId="77777777" w:rsidTr="009E1817">
        <w:trPr>
          <w:trHeight w:val="380"/>
        </w:trPr>
        <w:tc>
          <w:tcPr>
            <w:tcW w:w="559" w:type="dxa"/>
            <w:tcBorders>
              <w:top w:val="single" w:sz="12" w:space="0" w:color="auto"/>
            </w:tcBorders>
          </w:tcPr>
          <w:p w14:paraId="3D5C5024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377" w:type="dxa"/>
            <w:tcBorders>
              <w:top w:val="single" w:sz="12" w:space="0" w:color="auto"/>
            </w:tcBorders>
          </w:tcPr>
          <w:p w14:paraId="197B3AFD" w14:textId="2865F3EC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highlight w:val="red"/>
              </w:rPr>
            </w:pP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Zgodność projektu z ideą inicjatywy Nowy Europejski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Bauhaus</w:t>
            </w:r>
            <w:proofErr w:type="spellEnd"/>
            <w:r w:rsidR="009E1817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 (z ang. NEB)</w:t>
            </w:r>
          </w:p>
        </w:tc>
        <w:tc>
          <w:tcPr>
            <w:tcW w:w="9301" w:type="dxa"/>
            <w:tcBorders>
              <w:top w:val="single" w:sz="12" w:space="0" w:color="auto"/>
            </w:tcBorders>
            <w:vAlign w:val="center"/>
          </w:tcPr>
          <w:p w14:paraId="2792C172" w14:textId="20DA7978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</w:t>
            </w:r>
            <w:r w:rsidR="009E1817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czy rozwiązania przewidywane w projekcie uwzględniają zasady 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inicjatywy Nowy Europejski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Bauhaus</w:t>
            </w:r>
            <w:proofErr w:type="spellEnd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 (</w:t>
            </w:r>
            <w:r w:rsidR="009E1817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New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European</w:t>
            </w:r>
            <w:proofErr w:type="spellEnd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Bauhaus</w:t>
            </w:r>
            <w:proofErr w:type="spellEnd"/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, NEB). NEB jest horyzontalnym projektem ekologiczno-gospodarczo-kulturalnym, stanowiącym praktyczną realizację założeń Europejskiego Zielonego Ładu w przestrzeni mieszkalnej.</w:t>
            </w:r>
          </w:p>
          <w:p w14:paraId="4413FB78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NEB kieruje się trójkątem trzech podstawowych wartości, takich jak: </w:t>
            </w:r>
          </w:p>
          <w:p w14:paraId="4DA30841" w14:textId="31A89193" w:rsidR="005421CE" w:rsidRPr="005421CE" w:rsidRDefault="005421CE" w:rsidP="005421CE">
            <w:pPr>
              <w:numPr>
                <w:ilvl w:val="0"/>
                <w:numId w:val="23"/>
              </w:numPr>
              <w:spacing w:before="120" w:after="120" w:line="276" w:lineRule="auto"/>
              <w:ind w:left="262" w:hanging="262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zrównoważenie środowiskowe/balans środowiskowy, w tym m.in. wkomponowanie elementów przyrody w tkankę miejską, zbilansowanie stref zabudowy miejskiej dbałością o różnorodność biologiczną</w:t>
            </w:r>
            <w:r w:rsidR="00F12684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02808168" w14:textId="4260DFC6" w:rsidR="005421CE" w:rsidRPr="005421CE" w:rsidRDefault="005421CE" w:rsidP="005421CE">
            <w:pPr>
              <w:numPr>
                <w:ilvl w:val="0"/>
                <w:numId w:val="23"/>
              </w:numPr>
              <w:spacing w:before="120" w:after="120" w:line="276" w:lineRule="auto"/>
              <w:ind w:left="262" w:hanging="262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  <w:r w:rsidR="00F12684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6F11374" w14:textId="4E968D85" w:rsidR="005421CE" w:rsidRPr="005421CE" w:rsidRDefault="005421CE" w:rsidP="005421CE">
            <w:pPr>
              <w:numPr>
                <w:ilvl w:val="0"/>
                <w:numId w:val="23"/>
              </w:numPr>
              <w:spacing w:before="120" w:after="120" w:line="276" w:lineRule="auto"/>
              <w:ind w:left="262" w:hanging="262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włączenie społeczne - tworzenie przestrzeni publicznej zachowującej funkcje przyrodnicze z uwzględnieniem aspektu równości i dostępności.</w:t>
            </w:r>
          </w:p>
          <w:p w14:paraId="3984041D" w14:textId="3846BFB9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189E9525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2 pkt., przy czym:</w:t>
            </w:r>
          </w:p>
          <w:p w14:paraId="16CC604B" w14:textId="2038FCDC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>projekt nie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uwzględnia zasad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 inicjatywy </w:t>
            </w:r>
            <w:r w:rsidR="009E1817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NEB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3996EB66" w14:textId="12A84B37" w:rsidR="005421CE" w:rsidRPr="005421CE" w:rsidDel="004049E0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uwzględnia zasady 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 xml:space="preserve">inicjatywy </w:t>
            </w:r>
            <w:r w:rsidR="009E1817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NEB</w:t>
            </w:r>
            <w:r w:rsidRPr="005421CE">
              <w:rPr>
                <w:rFonts w:ascii="Calibri" w:eastAsia="Calibri" w:hAnsi="Calibri" w:cs="Calibri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12" w:space="0" w:color="auto"/>
            </w:tcBorders>
          </w:tcPr>
          <w:p w14:paraId="6DD16CD6" w14:textId="77777777" w:rsidR="005421CE" w:rsidRPr="005421CE" w:rsidDel="00742561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</w:tr>
      <w:tr w:rsidR="005421CE" w:rsidRPr="005421CE" w14:paraId="30F07B17" w14:textId="77777777" w:rsidTr="008B6838">
        <w:trPr>
          <w:trHeight w:val="380"/>
        </w:trPr>
        <w:tc>
          <w:tcPr>
            <w:tcW w:w="559" w:type="dxa"/>
          </w:tcPr>
          <w:p w14:paraId="13CA5F7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21</w:t>
            </w:r>
          </w:p>
        </w:tc>
        <w:tc>
          <w:tcPr>
            <w:tcW w:w="3377" w:type="dxa"/>
          </w:tcPr>
          <w:p w14:paraId="55BD83F7" w14:textId="530BAA17" w:rsidR="005421CE" w:rsidRPr="005421CE" w:rsidRDefault="00243AB4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Uwzględnienie</w:t>
            </w:r>
            <w:r w:rsidRPr="00A74F5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74F59" w:rsidRPr="00A74F59">
              <w:rPr>
                <w:rFonts w:ascii="Calibri" w:eastAsia="Calibri" w:hAnsi="Calibri" w:cs="Calibri"/>
                <w:sz w:val="24"/>
                <w:szCs w:val="24"/>
              </w:rPr>
              <w:t xml:space="preserve">infrastruktury </w:t>
            </w:r>
            <w:r w:rsidR="00A74F59">
              <w:rPr>
                <w:rFonts w:ascii="Calibri" w:eastAsia="Calibri" w:hAnsi="Calibri" w:cs="Calibri"/>
                <w:sz w:val="24"/>
                <w:szCs w:val="24"/>
              </w:rPr>
              <w:t>odnawialnych źródeł energii</w:t>
            </w:r>
            <w:r w:rsidR="005421CE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74F5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05421CE" w:rsidRPr="005421CE">
              <w:rPr>
                <w:rFonts w:ascii="Calibri" w:eastAsia="Calibri" w:hAnsi="Calibri" w:cs="Calibri"/>
                <w:sz w:val="24"/>
                <w:szCs w:val="24"/>
              </w:rPr>
              <w:t>OZE</w:t>
            </w:r>
            <w:r w:rsidR="00A74F59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5421CE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w projekcie</w:t>
            </w:r>
          </w:p>
        </w:tc>
        <w:tc>
          <w:tcPr>
            <w:tcW w:w="9301" w:type="dxa"/>
            <w:vAlign w:val="center"/>
          </w:tcPr>
          <w:p w14:paraId="627C80DB" w14:textId="03767462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</w:t>
            </w:r>
            <w:r w:rsidR="009E1817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czy w projekcie przewidziano </w:t>
            </w:r>
            <w:r w:rsidR="00243AB4">
              <w:rPr>
                <w:rFonts w:ascii="Calibri" w:eastAsia="Calibri" w:hAnsi="Calibri" w:cs="Calibri"/>
                <w:bCs/>
                <w:sz w:val="24"/>
                <w:szCs w:val="24"/>
              </w:rPr>
              <w:t>realizację</w:t>
            </w:r>
            <w:r w:rsidR="00243AB4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infrastruktury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A74F59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odnawialn</w:t>
            </w:r>
            <w:r w:rsidR="00A74F59">
              <w:rPr>
                <w:rFonts w:ascii="Calibri" w:eastAsia="Calibri" w:hAnsi="Calibri" w:cs="Calibri"/>
                <w:bCs/>
                <w:sz w:val="24"/>
                <w:szCs w:val="24"/>
              </w:rPr>
              <w:t>ych</w:t>
            </w:r>
            <w:r w:rsidR="00A74F59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źróde</w:t>
            </w:r>
            <w:r w:rsidR="00A74F59">
              <w:rPr>
                <w:rFonts w:ascii="Calibri" w:eastAsia="Calibri" w:hAnsi="Calibri" w:cs="Calibri"/>
                <w:bCs/>
                <w:sz w:val="24"/>
                <w:szCs w:val="24"/>
              </w:rPr>
              <w:t>ł</w:t>
            </w:r>
            <w:r w:rsidR="00A74F59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energii </w:t>
            </w:r>
            <w:r w:rsidR="00A74F59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OZE</w:t>
            </w:r>
            <w:r w:rsidR="00A74F59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na potrzeby transportu miejskiego. Przez OZE należy rozumieć odnawialne, niekopalne źródła energii, obejmujące energię wiatru, energię promieniowania słonecznego, energię </w:t>
            </w:r>
            <w:proofErr w:type="spellStart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aerotermalną</w:t>
            </w:r>
            <w:proofErr w:type="spellEnd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, energię geotermalną, energię hydrotermalną, hydroenergię, energię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fal, prądów i pływów morskich, energię otrzymywaną z biomasy, biogazu, biogazu rolniczego oraz z </w:t>
            </w:r>
            <w:proofErr w:type="spellStart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biopłynów</w:t>
            </w:r>
            <w:proofErr w:type="spellEnd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14:paraId="5D684180" w14:textId="1467C44D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03A5B394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2, albo 4, albo 6 pkt., przy czym:</w:t>
            </w:r>
          </w:p>
          <w:p w14:paraId="06E6F3B6" w14:textId="3965E973" w:rsidR="005421CE" w:rsidRPr="005421CE" w:rsidRDefault="005421CE" w:rsidP="005421C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 xml:space="preserve">w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projekcie nie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przewidziano </w:t>
            </w:r>
            <w:r w:rsidR="00243AB4">
              <w:rPr>
                <w:rFonts w:ascii="Calibri" w:eastAsia="Calibri" w:hAnsi="Calibri" w:cs="Calibri"/>
                <w:bCs/>
                <w:sz w:val="24"/>
                <w:szCs w:val="24"/>
              </w:rPr>
              <w:t>realizacji</w:t>
            </w:r>
            <w:r w:rsidR="00243AB4" w:rsidRPr="005421CE">
              <w:rPr>
                <w:rFonts w:ascii="Calibri" w:eastAsia="Calibri" w:hAnsi="Calibri" w:cs="Times New Roman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infrastruktury OZE na potrzeby transportu miejskiego.</w:t>
            </w:r>
          </w:p>
          <w:p w14:paraId="65203068" w14:textId="15B9A497" w:rsidR="005421CE" w:rsidRPr="005421CE" w:rsidRDefault="009E1817" w:rsidP="005421CE">
            <w:pPr>
              <w:shd w:val="clear" w:color="auto" w:fill="FFFFFF"/>
              <w:spacing w:after="24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</w:t>
            </w:r>
            <w:r w:rsidR="005421CE" w:rsidRPr="005421CE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pkt.</w:t>
            </w:r>
            <w:r w:rsidR="005421CE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– </w:t>
            </w:r>
            <w:r w:rsidR="005421CE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do 20% (włącznie) liczby zadań w projekcie przewiduje </w:t>
            </w:r>
            <w:r w:rsidR="00243AB4">
              <w:rPr>
                <w:rFonts w:ascii="Calibri" w:eastAsia="Calibri" w:hAnsi="Calibri" w:cs="Times New Roman"/>
                <w:bCs/>
                <w:sz w:val="24"/>
                <w:szCs w:val="24"/>
              </w:rPr>
              <w:t>realizację</w:t>
            </w:r>
            <w:r w:rsidR="00243AB4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5421CE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>infrastruktury OZE na potrzeby transportu miejskiego.</w:t>
            </w:r>
          </w:p>
          <w:p w14:paraId="1EEDF4D4" w14:textId="0DEBF718" w:rsidR="005421CE" w:rsidRPr="005421CE" w:rsidRDefault="009E1817" w:rsidP="005421CE">
            <w:pPr>
              <w:shd w:val="clear" w:color="auto" w:fill="FFFFFF"/>
              <w:spacing w:after="24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  <w:r w:rsidR="005421CE" w:rsidRPr="005421CE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pkt.</w:t>
            </w:r>
            <w:r w:rsidR="005421CE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ponad 20% do 50% (włącznie) liczby zadań w projekcie przewiduje </w:t>
            </w:r>
            <w:r w:rsidR="00243AB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realizację</w:t>
            </w:r>
            <w:r w:rsidR="00243AB4" w:rsidRPr="005421CE" w:rsidDel="00243AB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5421CE"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infrastruktury OZE na potrzeby transportu miejskiego.</w:t>
            </w:r>
          </w:p>
          <w:p w14:paraId="29D623D6" w14:textId="30731D13" w:rsidR="005421CE" w:rsidRPr="009E1817" w:rsidDel="004049E0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9E181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6 pkt.</w:t>
            </w:r>
            <w:r w:rsidRPr="009E181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ponad 50% liczby zadań w projekcie przewiduje </w:t>
            </w:r>
            <w:r w:rsidR="00243AB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realizację</w:t>
            </w:r>
            <w:r w:rsidR="00243AB4" w:rsidRPr="009E1817" w:rsidDel="00243AB4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9E181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infrastruktury OZE na potrzeby transportu miejskiego.</w:t>
            </w:r>
          </w:p>
        </w:tc>
        <w:tc>
          <w:tcPr>
            <w:tcW w:w="1419" w:type="dxa"/>
          </w:tcPr>
          <w:p w14:paraId="172992C6" w14:textId="77777777" w:rsidR="005421CE" w:rsidRPr="005421CE" w:rsidDel="00742561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2, albo 4, albo 6</w:t>
            </w:r>
          </w:p>
        </w:tc>
      </w:tr>
      <w:tr w:rsidR="005421CE" w:rsidRPr="005421CE" w14:paraId="3F02C665" w14:textId="77777777" w:rsidTr="008B6838">
        <w:trPr>
          <w:trHeight w:val="380"/>
        </w:trPr>
        <w:tc>
          <w:tcPr>
            <w:tcW w:w="559" w:type="dxa"/>
          </w:tcPr>
          <w:p w14:paraId="3A083E42" w14:textId="3B4D3EB2" w:rsidR="005421CE" w:rsidRPr="005421CE" w:rsidRDefault="005A3C95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14:paraId="69493E6B" w14:textId="077E2874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Uwzględnienie rozwiązań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dot</w:t>
            </w:r>
            <w:r w:rsidR="005B5C98"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yczących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integracji usług </w:t>
            </w:r>
            <w:r w:rsidRPr="000810E0">
              <w:rPr>
                <w:rFonts w:ascii="Calibri" w:eastAsia="Calibri" w:hAnsi="Calibri" w:cs="Calibri"/>
                <w:sz w:val="24"/>
                <w:szCs w:val="24"/>
              </w:rPr>
              <w:t>przewozowych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na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obszarze MOF w projekcie</w:t>
            </w:r>
          </w:p>
        </w:tc>
        <w:tc>
          <w:tcPr>
            <w:tcW w:w="9301" w:type="dxa"/>
            <w:vAlign w:val="center"/>
          </w:tcPr>
          <w:p w14:paraId="1B27F6DB" w14:textId="77777777" w:rsidR="001516E6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</w:t>
            </w:r>
            <w:r w:rsidR="005B0C4E"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czy projekt uwzględnia rozwiązania dotyczące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integracji usług 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przewozowych na obszarze MOF. </w:t>
            </w:r>
          </w:p>
          <w:p w14:paraId="39EC83E9" w14:textId="6ACF2914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Pod pojęciem integracji usług przewozowych należy rozumieć proces organizacyjny, poprzez który elementy systemu transportu zbiorowego takie jak: sieć i</w:t>
            </w:r>
            <w:r w:rsidR="00F5575B"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infrastruktura, taryfy i</w:t>
            </w:r>
            <w:r w:rsidR="001516E6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systemy biletowe</w:t>
            </w:r>
            <w:r w:rsidR="005B0C4E"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,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różnych przewoźników eksploatujących różne środki transportu, ściślej i</w:t>
            </w:r>
            <w:r w:rsidR="001516E6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Pr="000810E0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sprawniej współdziałają, czego rezultatem jest ogólna poprawa jakości usług transportu zbiorowego.</w:t>
            </w:r>
          </w:p>
          <w:p w14:paraId="418D50D8" w14:textId="10FF7813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65634815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Możliwe jest przyznanie 0 albo 4, albo 8, albo 12 pkt., przy czym:</w:t>
            </w:r>
          </w:p>
          <w:p w14:paraId="2CD130C3" w14:textId="77777777" w:rsidR="005421CE" w:rsidRPr="005421CE" w:rsidRDefault="005421CE" w:rsidP="0054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nie przewiduje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integracji usług przewozowych na obszarze MOF.</w:t>
            </w:r>
          </w:p>
          <w:p w14:paraId="7048683A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projekt przewiduje integrację usług przewozowych w zakresie infrastrukturalnym, np. tworzenie centrów przesiadkowych, dworców multimodalnych.</w:t>
            </w:r>
          </w:p>
          <w:p w14:paraId="24D36C89" w14:textId="37E08686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bookmarkStart w:id="1" w:name="_Hlk124254254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przewiduje integrację usług przewozowych w zakresie oferty </w:t>
            </w:r>
            <w:r w:rsidR="001516E6"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bookmarkEnd w:id="1"/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integrację taryfową (wspólny bilet)</w:t>
            </w:r>
            <w:r w:rsidRPr="005421CE">
              <w:rPr>
                <w:rFonts w:ascii="Calibri" w:eastAsia="Calibri" w:hAnsi="Calibri" w:cs="Times New Roman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różnych organizatorów transportu zbiorowego.</w:t>
            </w:r>
          </w:p>
          <w:p w14:paraId="5DF79A29" w14:textId="3B95831E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projekt przewiduje integrację usług przewozowych w zakresie synchronizacji rozkładów jazdy różnych organizatorów/</w:t>
            </w:r>
            <w:r w:rsidR="001516E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środków transportu, tak by zapewnić dobre skomunikowanie </w:t>
            </w:r>
            <w:r w:rsidR="001516E6"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dogodne przesiadki.</w:t>
            </w:r>
          </w:p>
          <w:p w14:paraId="7EE2014A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Każdy z powyższych elementów oceniany jest niezależnie, punkty podlegają sumowaniu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3F587163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 albo 4, albo 8, albo 12</w:t>
            </w:r>
          </w:p>
        </w:tc>
      </w:tr>
      <w:tr w:rsidR="005A3C95" w:rsidRPr="005421CE" w14:paraId="5DF05E79" w14:textId="77777777" w:rsidTr="008B6838">
        <w:trPr>
          <w:trHeight w:val="380"/>
        </w:trPr>
        <w:tc>
          <w:tcPr>
            <w:tcW w:w="559" w:type="dxa"/>
          </w:tcPr>
          <w:p w14:paraId="6F5EE130" w14:textId="1D6B05B0" w:rsidR="005A3C95" w:rsidRPr="005421CE" w:rsidDel="005A3C95" w:rsidRDefault="005A3C95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3377" w:type="dxa"/>
          </w:tcPr>
          <w:p w14:paraId="25F1E8A6" w14:textId="75CB3298" w:rsidR="005A3C95" w:rsidRPr="005421CE" w:rsidRDefault="005A3C95" w:rsidP="005421CE">
            <w:pPr>
              <w:spacing w:before="120" w:after="0" w:line="276" w:lineRule="auto"/>
              <w:rPr>
                <w:rFonts w:ascii="Calibri" w:eastAsia="Arial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>Uwzględnienie koncepcji „Mobilność jako usługa” 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 ang. 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MaaS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) w projekcie</w:t>
            </w:r>
          </w:p>
        </w:tc>
        <w:tc>
          <w:tcPr>
            <w:tcW w:w="9301" w:type="dxa"/>
            <w:vAlign w:val="center"/>
          </w:tcPr>
          <w:p w14:paraId="6063C8DC" w14:textId="2DC5EE4E" w:rsidR="001516E6" w:rsidRPr="001516E6" w:rsidRDefault="005A3C95" w:rsidP="001516E6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 czy rozwiązania proponowane w projekcie uwzględniają </w:t>
            </w:r>
            <w:r w:rsidR="001516E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wdrożenie integracji usług mobilności na obszarze MOF, zgodnie z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koncepcj</w:t>
            </w:r>
            <w:r w:rsidR="001516E6">
              <w:rPr>
                <w:rFonts w:ascii="Calibri" w:eastAsia="Calibri" w:hAnsi="Calibri" w:cs="Calibri"/>
                <w:bCs/>
                <w:sz w:val="24"/>
                <w:szCs w:val="24"/>
              </w:rPr>
              <w:t>ą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„Mobilność jako usługa” (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z</w:t>
            </w:r>
            <w:r w:rsidR="00EE4552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ang</w:t>
            </w:r>
            <w:r w:rsidR="00EE4552">
              <w:rPr>
                <w:rFonts w:ascii="Calibri" w:eastAsia="Calibri" w:hAnsi="Calibri" w:cs="Calibri"/>
                <w:bCs/>
                <w:sz w:val="24"/>
                <w:szCs w:val="24"/>
              </w:rPr>
              <w:t>. </w:t>
            </w:r>
            <w:r w:rsidRPr="00EE4552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val="en-GB"/>
              </w:rPr>
              <w:t>Mobility as a Service</w:t>
            </w:r>
            <w:r w:rsidRPr="001516E6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516E6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MaaS</w:t>
            </w:r>
            <w:proofErr w:type="spellEnd"/>
            <w:r w:rsidRPr="001516E6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)</w:t>
            </w:r>
            <w:r w:rsidR="001516E6" w:rsidRPr="001516E6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1516E6" w:rsidRPr="00EE4552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>Wytyczne</w:t>
            </w:r>
            <w:proofErr w:type="spellEnd"/>
            <w:r w:rsidR="001516E6" w:rsidRPr="001516E6">
              <w:rPr>
                <w:rFonts w:ascii="Calibri" w:eastAsia="Calibri" w:hAnsi="Calibri" w:cs="Calibri"/>
                <w:bCs/>
                <w:sz w:val="24"/>
                <w:szCs w:val="24"/>
                <w:lang w:val="en-GB"/>
              </w:rPr>
              <w:t xml:space="preserve"> ELTIS: </w:t>
            </w:r>
            <w:hyperlink r:id="rId11" w:history="1">
              <w:r w:rsidR="001516E6" w:rsidRPr="001516E6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GB"/>
                </w:rPr>
                <w:t>https://www.eltis.org/sites/default/files/maas_sump_topic_guide_2021.pdf</w:t>
              </w:r>
            </w:hyperlink>
          </w:p>
          <w:p w14:paraId="09928E9F" w14:textId="4AAE37E9" w:rsidR="00CE7648" w:rsidRDefault="00CE7648" w:rsidP="005A3C95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Mobilność jako usługa (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MaaS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) to integracja i dostęp do różnych usług transportowych (transportu publicznego, transportu współdzielonego (np. rowery, skutery, hulajnogi, samochody, taxi) </w:t>
            </w:r>
            <w:r w:rsidRPr="000E125E">
              <w:rPr>
                <w:rFonts w:ascii="Calibri" w:eastAsia="Calibri" w:hAnsi="Calibri" w:cs="Calibri"/>
                <w:b/>
                <w:sz w:val="24"/>
                <w:szCs w:val="24"/>
              </w:rPr>
              <w:t>w jednej, wspólnej, cyfrowej usłudze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 której trzonem są mobilność aktywna i efektywny system transportu publicznego. Szyta na miarę usługa oferuje najbardziej dogodną odpowiedź na potrzeb</w:t>
            </w:r>
            <w:r w:rsidR="000E125E">
              <w:rPr>
                <w:rFonts w:ascii="Calibri" w:eastAsia="Calibri" w:hAnsi="Calibri" w:cs="Calibri"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przemieszczenia się użytkownika. </w:t>
            </w:r>
            <w:r w:rsidR="000E125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Dzięki temu, że </w:t>
            </w:r>
            <w:proofErr w:type="spellStart"/>
            <w:r w:rsidR="000E125E">
              <w:rPr>
                <w:rFonts w:ascii="Calibri" w:eastAsia="Calibri" w:hAnsi="Calibri" w:cs="Calibri"/>
                <w:bCs/>
                <w:sz w:val="24"/>
                <w:szCs w:val="24"/>
              </w:rPr>
              <w:t>MaaS</w:t>
            </w:r>
            <w:proofErr w:type="spellEnd"/>
            <w:r w:rsidR="000E125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jest dostępna o każdej porze dnia i oferuje możliwość zintegrowanego planowania, rezerwacji i zapłaty za podróż, a także bieżącą informację w czasie podróży, umożliwia łatwe funkcjonowanie bez konieczności posiadania własnego samochodu. </w:t>
            </w:r>
          </w:p>
          <w:p w14:paraId="64C7674B" w14:textId="5E86D5CD" w:rsidR="005A3C95" w:rsidRPr="005421CE" w:rsidRDefault="005A3C95" w:rsidP="005A3C95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lastRenderedPageBreak/>
              <w:t>Ocena na podstawie informacji zawartych we wniosku o dofinansowanie wraz z</w:t>
            </w:r>
            <w:r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50D2A3BA" w14:textId="77777777" w:rsidR="005A3C95" w:rsidRPr="005421CE" w:rsidRDefault="005A3C95" w:rsidP="005A3C95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4 pkt., przy czym:</w:t>
            </w:r>
          </w:p>
          <w:p w14:paraId="3BDFFD99" w14:textId="5EBAC24A" w:rsidR="005A3C95" w:rsidRPr="005421CE" w:rsidRDefault="005A3C95" w:rsidP="005A3C95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projekt nie </w:t>
            </w:r>
            <w:r w:rsidR="000E125E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przewiduje </w:t>
            </w:r>
            <w:r w:rsidR="000E125E"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integracji usług </w:t>
            </w:r>
            <w:r w:rsidR="000E125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transportowych</w:t>
            </w:r>
            <w:r w:rsidR="000E125E"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na obszarze MOF</w:t>
            </w:r>
            <w:r w:rsidR="000E125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, zgodnie z</w:t>
            </w:r>
            <w:r w:rsidR="00530454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koncepcj</w:t>
            </w:r>
            <w:r w:rsidR="000E125E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MaaS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C76E5AC" w14:textId="04509F1A" w:rsidR="005A3C95" w:rsidRPr="005421CE" w:rsidRDefault="005A3C95" w:rsidP="005A3C95">
            <w:pPr>
              <w:spacing w:before="120"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pkt. </w:t>
            </w:r>
            <w:r w:rsidRPr="0099637D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projekt </w:t>
            </w:r>
            <w:r w:rsidR="000E125E"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przewiduje </w:t>
            </w:r>
            <w:r w:rsidR="000E125E"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integracj</w:t>
            </w:r>
            <w:r w:rsidR="000E125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ę</w:t>
            </w:r>
            <w:r w:rsidR="000E125E"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usług </w:t>
            </w:r>
            <w:r w:rsidR="000E125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transportowych</w:t>
            </w:r>
            <w:r w:rsidR="000E125E"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na obszarze MOF</w:t>
            </w:r>
            <w:r w:rsidR="000E125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, zgodnie z</w:t>
            </w:r>
            <w:r w:rsidR="00530454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koncepcj</w:t>
            </w:r>
            <w:r w:rsidR="000E125E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5421CE">
              <w:rPr>
                <w:rFonts w:ascii="Calibri" w:eastAsia="Calibri" w:hAnsi="Calibri" w:cs="Calibri"/>
                <w:sz w:val="24"/>
                <w:szCs w:val="24"/>
              </w:rPr>
              <w:t>MaaS</w:t>
            </w:r>
            <w:proofErr w:type="spellEnd"/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0855C843" w14:textId="01D44E90" w:rsidR="005A3C95" w:rsidRPr="005421CE" w:rsidRDefault="005A3C95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</w:tr>
      <w:tr w:rsidR="005421CE" w:rsidRPr="005421CE" w14:paraId="15CF121E" w14:textId="77777777" w:rsidTr="008B6838">
        <w:trPr>
          <w:trHeight w:val="380"/>
        </w:trPr>
        <w:tc>
          <w:tcPr>
            <w:tcW w:w="559" w:type="dxa"/>
          </w:tcPr>
          <w:p w14:paraId="6881EBF4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24</w:t>
            </w:r>
          </w:p>
        </w:tc>
        <w:tc>
          <w:tcPr>
            <w:tcW w:w="3377" w:type="dxa"/>
          </w:tcPr>
          <w:p w14:paraId="5B45D29F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Objęcie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świadczoną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usługą przewozów pasażerskich obszarów dotychczas nieobsługiwanych</w:t>
            </w:r>
          </w:p>
        </w:tc>
        <w:tc>
          <w:tcPr>
            <w:tcW w:w="9301" w:type="dxa"/>
            <w:vAlign w:val="center"/>
          </w:tcPr>
          <w:p w14:paraId="20ADF594" w14:textId="15428EB4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podlega, czy projekt powoduje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objęcie świadczoną usługą przewozów pasażerskich obszarów</w:t>
            </w:r>
            <w:r w:rsidR="00970702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(osiedle, dzielnica miasta, gmina z obszaru MOF)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dotychczas nieobsługiwanych.</w:t>
            </w:r>
          </w:p>
          <w:p w14:paraId="4CB3041C" w14:textId="372EB568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Ocena na podstawie informacji zawartych we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0AB17BBE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4 pkt., przy czym:</w:t>
            </w:r>
          </w:p>
          <w:p w14:paraId="55E4EC22" w14:textId="77777777" w:rsidR="005421CE" w:rsidRPr="005421CE" w:rsidRDefault="005421CE" w:rsidP="0054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nie powoduje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objęcia świadczoną usługą przewozów pasażerskich obszarów dotychczas nieobsługiwanych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  <w:p w14:paraId="4A43B276" w14:textId="42FD1741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4 pkt. </w:t>
            </w:r>
            <w:r w:rsidRPr="005B0C4E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powoduje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objęcie świadczoną usługą przewozów pasażerskich obszarów dotychczas nieobsługiwanych</w:t>
            </w:r>
            <w:r w:rsidR="005B0C4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14:paraId="2222381A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</w:tr>
      <w:tr w:rsidR="005421CE" w:rsidRPr="005421CE" w14:paraId="0E619B51" w14:textId="77777777" w:rsidTr="008B6838">
        <w:trPr>
          <w:trHeight w:val="380"/>
        </w:trPr>
        <w:tc>
          <w:tcPr>
            <w:tcW w:w="559" w:type="dxa"/>
          </w:tcPr>
          <w:p w14:paraId="43F6C61D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25</w:t>
            </w:r>
          </w:p>
        </w:tc>
        <w:tc>
          <w:tcPr>
            <w:tcW w:w="3377" w:type="dxa"/>
          </w:tcPr>
          <w:p w14:paraId="6D1B2FBB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Realizacja projektu na obszarze, na którym istnieje wydzielona strefa płatnego parkowania lub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w ramach projektu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planowane jest utworzenie strefy płatnego parkowania</w:t>
            </w:r>
          </w:p>
        </w:tc>
        <w:tc>
          <w:tcPr>
            <w:tcW w:w="9301" w:type="dxa"/>
            <w:vAlign w:val="center"/>
          </w:tcPr>
          <w:p w14:paraId="47031A09" w14:textId="6A8F812F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Ocenie podlega, czy projekt będzie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realizowany na obszarze MOF, w którym miasto rdzeń posiada wydzieloną strefę płatnego parkowania lub w ramach projektu planowane jest utworzenie takiej strefy.</w:t>
            </w:r>
          </w:p>
          <w:p w14:paraId="5D0AA3E9" w14:textId="056B8A84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Ocena na podstawie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zawartych w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załącznikami. </w:t>
            </w:r>
          </w:p>
          <w:p w14:paraId="7C3EF6E9" w14:textId="77777777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2 pkt., przy czym:</w:t>
            </w:r>
          </w:p>
          <w:p w14:paraId="16933D9C" w14:textId="2BEB5123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0 pkt.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 projekt nie będzie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realizowany na obszarze, na którym istnieje wydzielona strefa płatnego parkowania lub w ramach projektu nie jest planowane utworzenie takiej strefy.</w:t>
            </w:r>
          </w:p>
          <w:p w14:paraId="29AF51FB" w14:textId="7D946781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 pkt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 w:rsidR="005B0C4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– projekt będzie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realizowany na obszarze, na którym istnieje wydzielona strefa płatnego parkowania lub w ramach projektu planowane jest utworzenie takiej strefy.</w:t>
            </w:r>
          </w:p>
        </w:tc>
        <w:tc>
          <w:tcPr>
            <w:tcW w:w="1419" w:type="dxa"/>
          </w:tcPr>
          <w:p w14:paraId="45E8C886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</w:tr>
      <w:tr w:rsidR="00782D33" w:rsidRPr="005421CE" w14:paraId="35D0BC70" w14:textId="77777777" w:rsidTr="008B6838">
        <w:trPr>
          <w:trHeight w:val="380"/>
        </w:trPr>
        <w:tc>
          <w:tcPr>
            <w:tcW w:w="559" w:type="dxa"/>
          </w:tcPr>
          <w:p w14:paraId="61A06406" w14:textId="77D4C2EA" w:rsidR="00782D33" w:rsidRPr="005421CE" w:rsidRDefault="00782D33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26</w:t>
            </w:r>
          </w:p>
        </w:tc>
        <w:tc>
          <w:tcPr>
            <w:tcW w:w="3377" w:type="dxa"/>
          </w:tcPr>
          <w:p w14:paraId="612A2D6B" w14:textId="3C77D626" w:rsidR="00782D33" w:rsidRPr="005421CE" w:rsidRDefault="00782D33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Konsultacje społeczne w celu zwiększenia dostępności</w:t>
            </w:r>
            <w:r w:rsidR="008B6838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transportu publicznego</w:t>
            </w:r>
            <w:r w:rsidR="0021716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i</w:t>
            </w:r>
            <w:r w:rsidR="004E65D5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 </w:t>
            </w:r>
            <w:r w:rsidR="0021716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mobilności</w:t>
            </w:r>
          </w:p>
        </w:tc>
        <w:tc>
          <w:tcPr>
            <w:tcW w:w="9301" w:type="dxa"/>
            <w:vAlign w:val="center"/>
          </w:tcPr>
          <w:p w14:paraId="2EE35FBA" w14:textId="0F94D85D" w:rsidR="00782D33" w:rsidRDefault="00782D33" w:rsidP="005421CE">
            <w:pPr>
              <w:spacing w:before="120"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Ocenie podlega, czy Wnioskodawca przeprowadził konsultacje społeczne dotyczące zastosowania rozwiązań służących zwiększeniu dostępności </w:t>
            </w:r>
            <w:r w:rsidR="00185CED">
              <w:rPr>
                <w:rFonts w:ascii="Calibri" w:eastAsia="Calibri" w:hAnsi="Calibri" w:cs="Calibri"/>
                <w:bCs/>
                <w:sz w:val="24"/>
                <w:szCs w:val="24"/>
              </w:rPr>
              <w:t>transportu publicznego i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="00185CE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mobilności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dla osób ze szczególnymi potrzebami, w tym osób z niepełnosprawnościami oraz uwzględnił wyniki konsultacji w projekcie. </w:t>
            </w:r>
          </w:p>
          <w:p w14:paraId="2EDBF6D8" w14:textId="305F9E99" w:rsidR="00782D33" w:rsidRPr="005421CE" w:rsidRDefault="00782D33" w:rsidP="00782D33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Ocena na podstawie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zawartych w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załącznikami. </w:t>
            </w:r>
          </w:p>
          <w:p w14:paraId="63DC222F" w14:textId="77777777" w:rsidR="00782D33" w:rsidRPr="005421CE" w:rsidRDefault="00782D33" w:rsidP="00782D33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Możliwe jest przyznanie 0 albo 2 pkt., przy czym:</w:t>
            </w:r>
          </w:p>
          <w:p w14:paraId="0F184715" w14:textId="6E0D73C0" w:rsidR="00782D33" w:rsidRPr="005421CE" w:rsidRDefault="00782D33" w:rsidP="00782D33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pkt.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–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Wnioskodawca nie przeprowadził konsultacji społecznych lub nie uwzględnił ich wyników w projekcie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A1D49A6" w14:textId="39822F60" w:rsidR="00782D33" w:rsidRPr="005421CE" w:rsidRDefault="00782D33" w:rsidP="00782D33">
            <w:pPr>
              <w:spacing w:before="120"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 pkt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– 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Wnioskodawca przeprowadził konsultacje społeczne oraz uwzględnił ich wyniki w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</w:rPr>
              <w:t> </w:t>
            </w:r>
            <w:r w:rsidR="00393BC8">
              <w:rPr>
                <w:rFonts w:ascii="Calibri" w:eastAsia="Calibri" w:hAnsi="Calibri" w:cs="Calibri"/>
                <w:bCs/>
                <w:sz w:val="24"/>
                <w:szCs w:val="24"/>
              </w:rPr>
              <w:t>projekcie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409F2EBC" w14:textId="6EAC727E" w:rsidR="00782D33" w:rsidRPr="005421CE" w:rsidRDefault="00782D33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 albo 2</w:t>
            </w:r>
          </w:p>
        </w:tc>
      </w:tr>
      <w:tr w:rsidR="005421CE" w:rsidRPr="005421CE" w14:paraId="23FB8907" w14:textId="77777777" w:rsidTr="008B6838">
        <w:trPr>
          <w:trHeight w:val="380"/>
        </w:trPr>
        <w:tc>
          <w:tcPr>
            <w:tcW w:w="559" w:type="dxa"/>
          </w:tcPr>
          <w:p w14:paraId="519035B6" w14:textId="010B432D" w:rsidR="005421CE" w:rsidRPr="005421CE" w:rsidRDefault="00782D33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27</w:t>
            </w:r>
          </w:p>
        </w:tc>
        <w:tc>
          <w:tcPr>
            <w:tcW w:w="3377" w:type="dxa"/>
          </w:tcPr>
          <w:p w14:paraId="2469654E" w14:textId="7777777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Przygotowanie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projektu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do realizacji</w:t>
            </w:r>
          </w:p>
        </w:tc>
        <w:tc>
          <w:tcPr>
            <w:tcW w:w="9301" w:type="dxa"/>
            <w:vAlign w:val="center"/>
          </w:tcPr>
          <w:p w14:paraId="7A60212C" w14:textId="13D9F727" w:rsidR="005421CE" w:rsidRPr="005421CE" w:rsidRDefault="005421CE" w:rsidP="0099637D">
            <w:pPr>
              <w:spacing w:before="120"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Ocenie podlega, czy: </w:t>
            </w:r>
          </w:p>
          <w:p w14:paraId="54E58BE5" w14:textId="6288BB3A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a) zostało/zostały ogłoszone postępowanie/postępowania przetargowe dla zadań objętych wnioskiem o dofinansowanie</w:t>
            </w:r>
            <w:r w:rsidR="00F12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14:paraId="0534B439" w14:textId="793C1907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b) nastąpiło otwarcie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ofert w ramach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postępowania/postępowań przetargowego dla zadań objętych wnioskiem o dofinansowanie</w:t>
            </w:r>
            <w:r w:rsidR="00F12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  <w:p w14:paraId="51F2B4FD" w14:textId="77777777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c)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została podpisana umowa/umowy w ramach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zadań objętych wnioskiem o dofinansowanie.</w:t>
            </w:r>
          </w:p>
          <w:p w14:paraId="67163649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lastRenderedPageBreak/>
              <w:t xml:space="preserve">Ocena na podstawie informacji zawartych we wniosku o dofinansowanie wraz z załącznikami. </w:t>
            </w:r>
          </w:p>
          <w:p w14:paraId="5A2D6955" w14:textId="77777777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0, albo 2, albo 5, albo 10 pkt., przy czym:</w:t>
            </w:r>
          </w:p>
          <w:p w14:paraId="1B2EC16A" w14:textId="48BDEF85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0 pkt. </w:t>
            </w:r>
            <w:r w:rsidRPr="005B0C4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Wnioskodawca nie ogłosił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postępowań przetargowych 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dla zadań </w:t>
            </w:r>
            <w:r w:rsidR="004D5891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objętych wnioskiem o dofinansowanie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="004D5891"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stanowią</w:t>
            </w:r>
            <w:r w:rsidR="005B0C4E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ych co najmniej 50% wartości projektu (wartość wydatków kwalifikowalnych)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BBEC9AF" w14:textId="0988309F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 pkt.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B0C4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Wnioskodawca ogłosił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postępowania przetargowe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dla zadań </w:t>
            </w:r>
            <w:r w:rsidR="004D5891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objętych wnioskiem o</w:t>
            </w:r>
            <w:r w:rsidR="00F557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  <w:r w:rsidR="004D5891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dofinansowanie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stanowiąc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powyżej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50% wartości projektu (wartość wydatków kwalifikowalnych)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14C3809" w14:textId="7BB21A07" w:rsidR="005421CE" w:rsidRPr="005421CE" w:rsidRDefault="005421CE" w:rsidP="005421CE">
            <w:pPr>
              <w:spacing w:before="120" w:after="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 pkt.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B0C4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–</w:t>
            </w:r>
            <w:r w:rsidRPr="005421CE">
              <w:rPr>
                <w:rFonts w:ascii="Calibri" w:eastAsia="Calibri" w:hAnsi="Calibri" w:cs="Calibri"/>
                <w:b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Wnioskodawca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otworzył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oferty w ramach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postępowań przetargowych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dla zadań</w:t>
            </w:r>
            <w:r w:rsidR="004D5891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objętych wnioskiem o dofinansowanie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stanowiąc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powyżej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50% wartości projektu (wartość wydatków kwalifikowalnych)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40E75AE" w14:textId="77777777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Projekt spełniający to kryterium otrzymuje również punkty za ogłoszenie postępowania – w sumie 5 punktów.</w:t>
            </w:r>
          </w:p>
          <w:p w14:paraId="29C567D5" w14:textId="7A9D72E7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 pkt.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251DD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Wnioskodawca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podpisał umowy w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postępowań przetargowych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dla zadań </w:t>
            </w:r>
            <w:r w:rsidR="004D5891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objętych wnioskiem o dofinansowanie</w:t>
            </w:r>
            <w:r w:rsidR="004D58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>stanowiąc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D5891">
              <w:rPr>
                <w:rFonts w:ascii="Calibri" w:eastAsia="Calibri" w:hAnsi="Calibri" w:cs="Calibri"/>
                <w:sz w:val="24"/>
                <w:szCs w:val="24"/>
              </w:rPr>
              <w:t>powyżej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50% wartości projektu (wartość wydatków kwalifikowalnych)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52D2522" w14:textId="77777777" w:rsidR="005421CE" w:rsidRPr="005421CE" w:rsidRDefault="005421CE" w:rsidP="005421CE">
            <w:pP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Projekt spełniający to kryterium otrzymuje również punkty za ogłoszenie postępowania oraz otwarcie ofert – w sumie 10 punktów.</w:t>
            </w:r>
          </w:p>
        </w:tc>
        <w:tc>
          <w:tcPr>
            <w:tcW w:w="1419" w:type="dxa"/>
          </w:tcPr>
          <w:p w14:paraId="7FF63927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0 albo 2, albo 5,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 xml:space="preserve"> 10</w:t>
            </w:r>
          </w:p>
        </w:tc>
      </w:tr>
      <w:tr w:rsidR="005421CE" w:rsidRPr="005421CE" w14:paraId="0843ED4B" w14:textId="77777777" w:rsidTr="008B6838">
        <w:trPr>
          <w:trHeight w:val="380"/>
        </w:trPr>
        <w:tc>
          <w:tcPr>
            <w:tcW w:w="559" w:type="dxa"/>
          </w:tcPr>
          <w:p w14:paraId="03C48EC3" w14:textId="281CD6FD" w:rsidR="005421CE" w:rsidRPr="005421CE" w:rsidRDefault="00782D33" w:rsidP="005421CE">
            <w:pPr>
              <w:spacing w:before="120" w:after="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3377" w:type="dxa"/>
          </w:tcPr>
          <w:p w14:paraId="26A591AE" w14:textId="2AE67731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Preferencj</w:t>
            </w:r>
            <w:r w:rsidR="009052D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e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dla miast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poniżej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100 tys.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mieszkańców,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które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osiadają Plan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 xml:space="preserve">Zrównoważonej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lastRenderedPageBreak/>
              <w:t>Mobilności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Miejskiej (</w:t>
            </w:r>
            <w:r w:rsidR="009052D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SUMP)</w:t>
            </w:r>
          </w:p>
        </w:tc>
        <w:tc>
          <w:tcPr>
            <w:tcW w:w="9301" w:type="dxa"/>
            <w:vAlign w:val="center"/>
          </w:tcPr>
          <w:p w14:paraId="38D27496" w14:textId="1E1E9910" w:rsidR="005421CE" w:rsidRPr="005421CE" w:rsidRDefault="005421CE" w:rsidP="005421CE">
            <w:pPr>
              <w:spacing w:before="120"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 xml:space="preserve">Ocenie podlega czy, w przypadku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miast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poniżej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100 tys.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mieszkańców, Wnioskodawca p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osiada Plan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Zrównoważonej Mobilności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Miejskiej (</w:t>
            </w:r>
            <w:r w:rsidR="009052D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z ang.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SUMP)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który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>uzyskał ocenę „pozytywną” lub ocenę „pozytywną z rekomendacjami” w zakresie weryfikacji z 8 zasadami ujętymi w</w:t>
            </w:r>
            <w:r w:rsidR="00F5575B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Komunikacie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Komisji Europejskiej do Parlamentu Europejskiego, Rady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Europejskiego Komitetu Ekonomiczno-Społecznego i Komitetu Regionów z 17.12.2013</w:t>
            </w:r>
            <w:r w:rsidR="009052D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r.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„Wspólne dążenie do osiągnięcia konkurencyjnej i </w:t>
            </w:r>
            <w:proofErr w:type="spellStart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zasobooszczędnej</w:t>
            </w:r>
            <w:proofErr w:type="spellEnd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mobilności” COM (2013) 913 </w:t>
            </w:r>
            <w:proofErr w:type="spellStart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final</w:t>
            </w:r>
            <w:proofErr w:type="spellEnd"/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14:paraId="7CCF770E" w14:textId="77777777" w:rsidR="005421CE" w:rsidRPr="005421CE" w:rsidRDefault="006A4233" w:rsidP="005421CE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hyperlink r:id="rId12" w:history="1">
              <w:r w:rsidR="005421CE" w:rsidRPr="005421CE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https://www.europarl.europa.eu/meetdocs/2014_2019/documents/com/com_com(2013)0913_/com_com(2013)0913_pl.pdf</w:t>
              </w:r>
            </w:hyperlink>
            <w:r w:rsidR="005421CE"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E1748C0" w14:textId="12956F6D" w:rsidR="005421CE" w:rsidRPr="005421CE" w:rsidRDefault="005421CE" w:rsidP="005421CE">
            <w:pPr>
              <w:spacing w:before="120" w:after="200" w:line="276" w:lineRule="auto"/>
              <w:ind w:hanging="11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Ocena na podstawie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informacji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zawartych we wniosku o dofinansowanie wraz z</w:t>
            </w:r>
            <w:r w:rsidR="00F5575B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  <w:lang w:bidi="pl-PL"/>
              </w:rPr>
              <w:t>załącznikami.</w:t>
            </w:r>
          </w:p>
          <w:p w14:paraId="1E4EC08C" w14:textId="77777777" w:rsidR="005421CE" w:rsidRPr="005421CE" w:rsidRDefault="005421CE" w:rsidP="005421CE">
            <w:pPr>
              <w:spacing w:before="120"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>Możliwe jest przyznanie 0 albo 2 pkt., przy czym:</w:t>
            </w:r>
          </w:p>
          <w:p w14:paraId="4F81B07B" w14:textId="63D358DE" w:rsidR="00F146A9" w:rsidRDefault="005421CE" w:rsidP="00F1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0 pkt. </w:t>
            </w:r>
            <w:r w:rsidRPr="009052D9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Times New Roman"/>
                <w:sz w:val="24"/>
                <w:szCs w:val="24"/>
              </w:rPr>
              <w:t>Wnioskodawca nie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posiada SUMP</w:t>
            </w:r>
            <w:r w:rsidR="0030361D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608DBF65" w14:textId="77777777" w:rsidR="005421CE" w:rsidRDefault="005421CE" w:rsidP="00F1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 pkt. </w:t>
            </w:r>
            <w:r w:rsidRPr="009052D9">
              <w:rPr>
                <w:rFonts w:ascii="Calibri" w:eastAsia="Calibri" w:hAnsi="Calibri" w:cs="Times New Roman"/>
                <w:bCs/>
                <w:sz w:val="24"/>
                <w:szCs w:val="24"/>
              </w:rPr>
              <w:t>–</w:t>
            </w:r>
            <w:r w:rsidRPr="005421C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Wnioskodawca </w:t>
            </w:r>
            <w:r w:rsidRPr="005421CE">
              <w:rPr>
                <w:rFonts w:ascii="Calibri" w:eastAsia="Arial" w:hAnsi="Calibri" w:cs="Calibri"/>
                <w:sz w:val="24"/>
                <w:szCs w:val="24"/>
                <w:lang w:eastAsia="pl-PL"/>
              </w:rPr>
              <w:t>posiada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SUMP</w:t>
            </w:r>
            <w:r w:rsidR="009052D9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>,</w:t>
            </w:r>
            <w:r w:rsidRPr="005421CE">
              <w:rPr>
                <w:rFonts w:ascii="Calibri" w:eastAsia="Calibri" w:hAnsi="Calibri" w:cs="Calibri"/>
                <w:sz w:val="24"/>
                <w:szCs w:val="24"/>
                <w:lang w:eastAsia="pl-PL"/>
              </w:rPr>
              <w:t xml:space="preserve"> który </w:t>
            </w:r>
            <w:r w:rsidRPr="005421CE">
              <w:rPr>
                <w:rFonts w:ascii="Calibri" w:eastAsia="Calibri" w:hAnsi="Calibri" w:cs="Calibri"/>
                <w:iCs/>
                <w:sz w:val="24"/>
                <w:szCs w:val="24"/>
                <w:lang w:bidi="pl-PL"/>
              </w:rPr>
              <w:t xml:space="preserve">uzyskał ocenę „pozytywną” lub ocenę „pozytywną z rekomendacjami” w zakresie weryfikacji z 8 zasadami ujętymi w ww. Komunikacie </w:t>
            </w:r>
            <w:r w:rsidRPr="005421CE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Komisji Europejskiej do Parlamentu Europejskiego, Rady Europejskiego Komitetu Ekonomiczno-Społecznego i Komitetu Regionów.</w:t>
            </w:r>
          </w:p>
          <w:p w14:paraId="29D7DBB6" w14:textId="5DD57246" w:rsidR="006A4233" w:rsidRPr="005421CE" w:rsidRDefault="006A4233" w:rsidP="00F1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419" w:type="dxa"/>
          </w:tcPr>
          <w:p w14:paraId="5914A67D" w14:textId="77777777" w:rsidR="005421CE" w:rsidRPr="005421CE" w:rsidRDefault="005421CE" w:rsidP="005421CE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421C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0 </w:t>
            </w:r>
            <w:r w:rsidRPr="005421CE">
              <w:rPr>
                <w:rFonts w:ascii="Calibri" w:eastAsia="Calibri" w:hAnsi="Calibri" w:cs="Calibri"/>
                <w:bCs/>
                <w:sz w:val="24"/>
                <w:szCs w:val="24"/>
              </w:rPr>
              <w:t>albo</w:t>
            </w:r>
            <w:r w:rsidRPr="005421CE"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</w:tr>
    </w:tbl>
    <w:p w14:paraId="30F30E98" w14:textId="77777777" w:rsidR="00945B72" w:rsidRDefault="00945B72"/>
    <w:sectPr w:rsidR="00945B72" w:rsidSect="00A537E9"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11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FFC9" w14:textId="77777777" w:rsidR="007F7D32" w:rsidRDefault="007F7D32" w:rsidP="005421CE">
      <w:pPr>
        <w:spacing w:after="0" w:line="240" w:lineRule="auto"/>
      </w:pPr>
      <w:r>
        <w:separator/>
      </w:r>
    </w:p>
  </w:endnote>
  <w:endnote w:type="continuationSeparator" w:id="0">
    <w:p w14:paraId="5D186121" w14:textId="77777777" w:rsidR="007F7D32" w:rsidRDefault="007F7D32" w:rsidP="0054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237104"/>
      <w:docPartObj>
        <w:docPartGallery w:val="Page Numbers (Bottom of Page)"/>
        <w:docPartUnique/>
      </w:docPartObj>
    </w:sdtPr>
    <w:sdtEndPr/>
    <w:sdtContent>
      <w:p w14:paraId="785D3194" w14:textId="77777777" w:rsidR="008B6838" w:rsidRDefault="008B68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3FF8A" w14:textId="77777777" w:rsidR="008B6838" w:rsidRDefault="008B6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83282"/>
      <w:docPartObj>
        <w:docPartGallery w:val="Page Numbers (Bottom of Page)"/>
        <w:docPartUnique/>
      </w:docPartObj>
    </w:sdtPr>
    <w:sdtEndPr/>
    <w:sdtContent>
      <w:p w14:paraId="518DD804" w14:textId="77777777" w:rsidR="008B6838" w:rsidRDefault="008B6838" w:rsidP="00847191">
        <w:pPr>
          <w:pStyle w:val="Stopka"/>
          <w:jc w:val="center"/>
          <w:rPr>
            <w:rFonts w:asciiTheme="minorHAnsi" w:eastAsiaTheme="minorHAnsi" w:hAnsiTheme="minorHAnsi" w:cstheme="minorBid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1804D" w14:textId="51749785" w:rsidR="008B6838" w:rsidRPr="00847191" w:rsidRDefault="008B6838" w:rsidP="008471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2095" w14:textId="77777777" w:rsidR="007F7D32" w:rsidRDefault="007F7D32" w:rsidP="005421CE">
      <w:pPr>
        <w:spacing w:after="0" w:line="240" w:lineRule="auto"/>
      </w:pPr>
      <w:r>
        <w:separator/>
      </w:r>
    </w:p>
  </w:footnote>
  <w:footnote w:type="continuationSeparator" w:id="0">
    <w:p w14:paraId="2D984A3C" w14:textId="77777777" w:rsidR="007F7D32" w:rsidRDefault="007F7D32" w:rsidP="005421CE">
      <w:pPr>
        <w:spacing w:after="0" w:line="240" w:lineRule="auto"/>
      </w:pPr>
      <w:r>
        <w:continuationSeparator/>
      </w:r>
    </w:p>
  </w:footnote>
  <w:footnote w:id="1">
    <w:p w14:paraId="5F29D3E2" w14:textId="71C9DFA8" w:rsidR="008B6838" w:rsidRDefault="008B6838" w:rsidP="005421CE">
      <w:pPr>
        <w:pStyle w:val="Tekstprzypisudolnego"/>
        <w:ind w:firstLine="0"/>
        <w:jc w:val="left"/>
      </w:pPr>
      <w:r w:rsidRPr="00624E95">
        <w:rPr>
          <w:rStyle w:val="Odwoanieprzypisudolnego"/>
          <w:rFonts w:eastAsia="Calibri" w:cs="Calibri"/>
        </w:rPr>
        <w:footnoteRef/>
      </w:r>
      <w:r w:rsidRPr="00624E95">
        <w:rPr>
          <w:rFonts w:ascii="Calibri" w:hAnsi="Calibri" w:cs="Calibri"/>
          <w:sz w:val="20"/>
        </w:rPr>
        <w:t xml:space="preserve"> Zgodnie z zapisami „Wytycznych dotyczących realizacji zasad równościowych w ramach funduszy unijnych na lata 2021-2027”</w:t>
      </w:r>
      <w:r>
        <w:rPr>
          <w:rFonts w:ascii="Calibri" w:hAnsi="Calibri" w:cs="Calibri"/>
          <w:sz w:val="20"/>
        </w:rPr>
        <w:t>.</w:t>
      </w:r>
    </w:p>
  </w:footnote>
  <w:footnote w:id="2">
    <w:p w14:paraId="62B2800F" w14:textId="77777777" w:rsidR="008B6838" w:rsidRPr="00624E95" w:rsidRDefault="008B6838" w:rsidP="005421CE">
      <w:pPr>
        <w:pStyle w:val="Tekstprzypisudolnego"/>
        <w:ind w:firstLine="0"/>
        <w:jc w:val="left"/>
        <w:rPr>
          <w:rFonts w:ascii="Calibri" w:hAnsi="Calibri" w:cs="Calibri"/>
          <w:sz w:val="20"/>
        </w:rPr>
      </w:pPr>
      <w:r w:rsidRPr="00624E95">
        <w:rPr>
          <w:rStyle w:val="Odwoanieprzypisudolnego"/>
          <w:rFonts w:eastAsia="Calibri" w:cs="Calibri"/>
        </w:rPr>
        <w:footnoteRef/>
      </w:r>
      <w:r w:rsidRPr="00624E95">
        <w:rPr>
          <w:rFonts w:ascii="Calibri" w:hAnsi="Calibri" w:cs="Calibri"/>
          <w:sz w:val="20"/>
        </w:rPr>
        <w:t xml:space="preserve"> 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</w:footnote>
  <w:footnote w:id="3">
    <w:p w14:paraId="74E79C0F" w14:textId="56E23769" w:rsidR="008B6838" w:rsidRPr="00855281" w:rsidRDefault="008B6838" w:rsidP="005421CE">
      <w:pPr>
        <w:pStyle w:val="Tekstprzypisudolnego"/>
        <w:rPr>
          <w:rFonts w:asciiTheme="minorHAnsi" w:hAnsiTheme="minorHAnsi" w:cstheme="minorHAnsi"/>
          <w:sz w:val="20"/>
        </w:rPr>
      </w:pPr>
      <w:r w:rsidRPr="00855281">
        <w:rPr>
          <w:rStyle w:val="Odwoanieprzypisudolnego"/>
          <w:rFonts w:asciiTheme="minorHAnsi" w:eastAsia="Calibri" w:hAnsiTheme="minorHAnsi" w:cstheme="minorHAnsi"/>
          <w:sz w:val="20"/>
        </w:rPr>
        <w:footnoteRef/>
      </w:r>
      <w:r w:rsidRPr="00855281">
        <w:rPr>
          <w:rFonts w:asciiTheme="minorHAnsi" w:hAnsiTheme="minorHAnsi" w:cstheme="minorHAnsi"/>
          <w:sz w:val="20"/>
        </w:rPr>
        <w:t xml:space="preserve"> Zgodnie z zapisami „Wytycznych dotyczących realizacji zasad równościowych w ramach funduszy unijnych na lata 2021-2027”.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DE3D" w14:textId="0509A368" w:rsidR="008B6838" w:rsidRDefault="008B6838">
    <w:pPr>
      <w:pStyle w:val="Nagwek"/>
    </w:pPr>
    <w:r w:rsidRPr="00CB49D5">
      <w:rPr>
        <w:noProof/>
      </w:rPr>
      <w:drawing>
        <wp:inline distT="0" distB="0" distL="0" distR="0" wp14:anchorId="5DCE88CC" wp14:editId="26BAC04D">
          <wp:extent cx="8892540" cy="1016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593"/>
    <w:multiLevelType w:val="hybridMultilevel"/>
    <w:tmpl w:val="1BDC16A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C1E4C"/>
    <w:multiLevelType w:val="hybridMultilevel"/>
    <w:tmpl w:val="E9B6A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C78"/>
    <w:multiLevelType w:val="hybridMultilevel"/>
    <w:tmpl w:val="E7321530"/>
    <w:lvl w:ilvl="0" w:tplc="6470A3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546F2"/>
    <w:multiLevelType w:val="hybridMultilevel"/>
    <w:tmpl w:val="DE2A9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3FF1"/>
    <w:multiLevelType w:val="hybridMultilevel"/>
    <w:tmpl w:val="708664E2"/>
    <w:lvl w:ilvl="0" w:tplc="FC3E9A18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12062D94"/>
    <w:multiLevelType w:val="hybridMultilevel"/>
    <w:tmpl w:val="6AD4E12C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949468A"/>
    <w:multiLevelType w:val="hybridMultilevel"/>
    <w:tmpl w:val="B97C4CC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2A3A57"/>
    <w:multiLevelType w:val="hybridMultilevel"/>
    <w:tmpl w:val="CDF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588"/>
    <w:multiLevelType w:val="hybridMultilevel"/>
    <w:tmpl w:val="53E0129A"/>
    <w:lvl w:ilvl="0" w:tplc="184207D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E58"/>
    <w:multiLevelType w:val="hybridMultilevel"/>
    <w:tmpl w:val="C840C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3D77"/>
    <w:multiLevelType w:val="hybridMultilevel"/>
    <w:tmpl w:val="5A0E35C0"/>
    <w:lvl w:ilvl="0" w:tplc="FC3E9A18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1" w15:restartNumberingAfterBreak="0">
    <w:nsid w:val="292A7B33"/>
    <w:multiLevelType w:val="hybridMultilevel"/>
    <w:tmpl w:val="394A32D4"/>
    <w:lvl w:ilvl="0" w:tplc="73F633F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6347A1"/>
    <w:multiLevelType w:val="hybridMultilevel"/>
    <w:tmpl w:val="FE048C18"/>
    <w:lvl w:ilvl="0" w:tplc="0FF4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5AF1"/>
    <w:multiLevelType w:val="hybridMultilevel"/>
    <w:tmpl w:val="416C460E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7">
      <w:start w:val="1"/>
      <w:numFmt w:val="lowerLetter"/>
      <w:lvlText w:val="%2)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34A5537D"/>
    <w:multiLevelType w:val="hybridMultilevel"/>
    <w:tmpl w:val="92FC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36E5"/>
    <w:multiLevelType w:val="hybridMultilevel"/>
    <w:tmpl w:val="075ED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499E"/>
    <w:multiLevelType w:val="hybridMultilevel"/>
    <w:tmpl w:val="031A37F6"/>
    <w:lvl w:ilvl="0" w:tplc="FC3E9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371F3"/>
    <w:multiLevelType w:val="hybridMultilevel"/>
    <w:tmpl w:val="94306DA6"/>
    <w:lvl w:ilvl="0" w:tplc="FC3E9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E5B71"/>
    <w:multiLevelType w:val="hybridMultilevel"/>
    <w:tmpl w:val="F682689C"/>
    <w:lvl w:ilvl="0" w:tplc="B3F68F4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263C7"/>
    <w:multiLevelType w:val="hybridMultilevel"/>
    <w:tmpl w:val="D7A46918"/>
    <w:lvl w:ilvl="0" w:tplc="389C2240">
      <w:start w:val="2"/>
      <w:numFmt w:val="lowerLetter"/>
      <w:lvlText w:val="%1)"/>
      <w:lvlJc w:val="left"/>
      <w:pPr>
        <w:ind w:left="107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1C40BCD"/>
    <w:multiLevelType w:val="hybridMultilevel"/>
    <w:tmpl w:val="DB88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479C1"/>
    <w:multiLevelType w:val="hybridMultilevel"/>
    <w:tmpl w:val="7A74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B8B91E">
      <w:start w:val="1"/>
      <w:numFmt w:val="lowerLetter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4252C"/>
    <w:multiLevelType w:val="hybridMultilevel"/>
    <w:tmpl w:val="608A2BF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1">
      <w:start w:val="1"/>
      <w:numFmt w:val="decimal"/>
      <w:lvlText w:val="%2)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1542B80"/>
    <w:multiLevelType w:val="hybridMultilevel"/>
    <w:tmpl w:val="6454759C"/>
    <w:lvl w:ilvl="0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4" w15:restartNumberingAfterBreak="0">
    <w:nsid w:val="698B3D99"/>
    <w:multiLevelType w:val="hybridMultilevel"/>
    <w:tmpl w:val="C840C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D4EB5"/>
    <w:multiLevelType w:val="hybridMultilevel"/>
    <w:tmpl w:val="710AF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51624"/>
    <w:multiLevelType w:val="hybridMultilevel"/>
    <w:tmpl w:val="DB94549E"/>
    <w:lvl w:ilvl="0" w:tplc="BB2039D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54425"/>
    <w:multiLevelType w:val="hybridMultilevel"/>
    <w:tmpl w:val="E29E8D38"/>
    <w:lvl w:ilvl="0" w:tplc="04150011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4C60D9"/>
    <w:multiLevelType w:val="hybridMultilevel"/>
    <w:tmpl w:val="394A32D4"/>
    <w:lvl w:ilvl="0" w:tplc="73F633F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B817AE"/>
    <w:multiLevelType w:val="hybridMultilevel"/>
    <w:tmpl w:val="23DC1EEE"/>
    <w:lvl w:ilvl="0" w:tplc="C8B68C9E">
      <w:start w:val="1"/>
      <w:numFmt w:val="lowerLetter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9"/>
  </w:num>
  <w:num w:numId="5">
    <w:abstractNumId w:val="23"/>
  </w:num>
  <w:num w:numId="6">
    <w:abstractNumId w:val="8"/>
  </w:num>
  <w:num w:numId="7">
    <w:abstractNumId w:val="13"/>
  </w:num>
  <w:num w:numId="8">
    <w:abstractNumId w:val="4"/>
  </w:num>
  <w:num w:numId="9">
    <w:abstractNumId w:val="28"/>
  </w:num>
  <w:num w:numId="10">
    <w:abstractNumId w:val="19"/>
  </w:num>
  <w:num w:numId="11">
    <w:abstractNumId w:val="3"/>
  </w:num>
  <w:num w:numId="12">
    <w:abstractNumId w:val="14"/>
  </w:num>
  <w:num w:numId="13">
    <w:abstractNumId w:val="25"/>
  </w:num>
  <w:num w:numId="14">
    <w:abstractNumId w:val="2"/>
  </w:num>
  <w:num w:numId="15">
    <w:abstractNumId w:val="6"/>
  </w:num>
  <w:num w:numId="16">
    <w:abstractNumId w:val="16"/>
  </w:num>
  <w:num w:numId="17">
    <w:abstractNumId w:val="5"/>
  </w:num>
  <w:num w:numId="18">
    <w:abstractNumId w:val="22"/>
  </w:num>
  <w:num w:numId="19">
    <w:abstractNumId w:val="24"/>
  </w:num>
  <w:num w:numId="20">
    <w:abstractNumId w:val="29"/>
  </w:num>
  <w:num w:numId="21">
    <w:abstractNumId w:val="11"/>
  </w:num>
  <w:num w:numId="22">
    <w:abstractNumId w:val="10"/>
  </w:num>
  <w:num w:numId="23">
    <w:abstractNumId w:val="17"/>
  </w:num>
  <w:num w:numId="24">
    <w:abstractNumId w:val="20"/>
  </w:num>
  <w:num w:numId="25">
    <w:abstractNumId w:val="12"/>
  </w:num>
  <w:num w:numId="26">
    <w:abstractNumId w:val="18"/>
  </w:num>
  <w:num w:numId="27">
    <w:abstractNumId w:val="1"/>
  </w:num>
  <w:num w:numId="28">
    <w:abstractNumId w:val="26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CE"/>
    <w:rsid w:val="0001414E"/>
    <w:rsid w:val="00014C86"/>
    <w:rsid w:val="000673EA"/>
    <w:rsid w:val="00072EBE"/>
    <w:rsid w:val="000810E0"/>
    <w:rsid w:val="000E125E"/>
    <w:rsid w:val="000F7781"/>
    <w:rsid w:val="00106E40"/>
    <w:rsid w:val="00147E81"/>
    <w:rsid w:val="001516E6"/>
    <w:rsid w:val="00163E9F"/>
    <w:rsid w:val="00167519"/>
    <w:rsid w:val="00185CED"/>
    <w:rsid w:val="001F5E2F"/>
    <w:rsid w:val="002150EA"/>
    <w:rsid w:val="00217169"/>
    <w:rsid w:val="00236A44"/>
    <w:rsid w:val="00243AB4"/>
    <w:rsid w:val="00245B6A"/>
    <w:rsid w:val="00251DDD"/>
    <w:rsid w:val="002E4BF5"/>
    <w:rsid w:val="0030361D"/>
    <w:rsid w:val="00364762"/>
    <w:rsid w:val="0036622F"/>
    <w:rsid w:val="00393BC8"/>
    <w:rsid w:val="003B3FAD"/>
    <w:rsid w:val="003D5687"/>
    <w:rsid w:val="003D62B6"/>
    <w:rsid w:val="003F2A7F"/>
    <w:rsid w:val="0041189C"/>
    <w:rsid w:val="00430554"/>
    <w:rsid w:val="00484668"/>
    <w:rsid w:val="004B086A"/>
    <w:rsid w:val="004D1F83"/>
    <w:rsid w:val="004D5891"/>
    <w:rsid w:val="004E65D5"/>
    <w:rsid w:val="0051435D"/>
    <w:rsid w:val="00524453"/>
    <w:rsid w:val="005268FF"/>
    <w:rsid w:val="00530454"/>
    <w:rsid w:val="005421CE"/>
    <w:rsid w:val="00542CF4"/>
    <w:rsid w:val="00595FC2"/>
    <w:rsid w:val="005A3C95"/>
    <w:rsid w:val="005B0C4E"/>
    <w:rsid w:val="005B5C98"/>
    <w:rsid w:val="005D4C55"/>
    <w:rsid w:val="00602099"/>
    <w:rsid w:val="00611A66"/>
    <w:rsid w:val="00624130"/>
    <w:rsid w:val="006572DF"/>
    <w:rsid w:val="006A4233"/>
    <w:rsid w:val="006B1BA9"/>
    <w:rsid w:val="0070250E"/>
    <w:rsid w:val="00703B2C"/>
    <w:rsid w:val="00782D33"/>
    <w:rsid w:val="00784560"/>
    <w:rsid w:val="007909B8"/>
    <w:rsid w:val="00794F3F"/>
    <w:rsid w:val="007A593F"/>
    <w:rsid w:val="007B6ADA"/>
    <w:rsid w:val="007F03B6"/>
    <w:rsid w:val="007F5507"/>
    <w:rsid w:val="007F7D32"/>
    <w:rsid w:val="008343F6"/>
    <w:rsid w:val="00847191"/>
    <w:rsid w:val="00855281"/>
    <w:rsid w:val="00870C64"/>
    <w:rsid w:val="008B6838"/>
    <w:rsid w:val="009052D9"/>
    <w:rsid w:val="009302A2"/>
    <w:rsid w:val="00945B72"/>
    <w:rsid w:val="00970702"/>
    <w:rsid w:val="0099637D"/>
    <w:rsid w:val="009D08E4"/>
    <w:rsid w:val="009D3B2B"/>
    <w:rsid w:val="009D4A01"/>
    <w:rsid w:val="009E1817"/>
    <w:rsid w:val="009E773B"/>
    <w:rsid w:val="00A076F6"/>
    <w:rsid w:val="00A360CC"/>
    <w:rsid w:val="00A45983"/>
    <w:rsid w:val="00A537E9"/>
    <w:rsid w:val="00A617E0"/>
    <w:rsid w:val="00A74F59"/>
    <w:rsid w:val="00A8289A"/>
    <w:rsid w:val="00AD7D01"/>
    <w:rsid w:val="00B012D3"/>
    <w:rsid w:val="00B45E23"/>
    <w:rsid w:val="00B76DAC"/>
    <w:rsid w:val="00B83408"/>
    <w:rsid w:val="00B85B47"/>
    <w:rsid w:val="00BC2FD9"/>
    <w:rsid w:val="00BD0827"/>
    <w:rsid w:val="00BF0E2A"/>
    <w:rsid w:val="00C03E71"/>
    <w:rsid w:val="00C04A5D"/>
    <w:rsid w:val="00C1693C"/>
    <w:rsid w:val="00C30DA7"/>
    <w:rsid w:val="00C820C5"/>
    <w:rsid w:val="00C951EA"/>
    <w:rsid w:val="00CB630B"/>
    <w:rsid w:val="00CC43B0"/>
    <w:rsid w:val="00CE7648"/>
    <w:rsid w:val="00D27AC4"/>
    <w:rsid w:val="00D8400F"/>
    <w:rsid w:val="00D94D03"/>
    <w:rsid w:val="00DA4245"/>
    <w:rsid w:val="00DE3727"/>
    <w:rsid w:val="00E259EF"/>
    <w:rsid w:val="00E3589D"/>
    <w:rsid w:val="00E35A1D"/>
    <w:rsid w:val="00E55A59"/>
    <w:rsid w:val="00E75457"/>
    <w:rsid w:val="00E96DE6"/>
    <w:rsid w:val="00EA0F92"/>
    <w:rsid w:val="00EC1457"/>
    <w:rsid w:val="00EE4552"/>
    <w:rsid w:val="00F12684"/>
    <w:rsid w:val="00F146A9"/>
    <w:rsid w:val="00F22523"/>
    <w:rsid w:val="00F23514"/>
    <w:rsid w:val="00F32424"/>
    <w:rsid w:val="00F5575B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7D817E"/>
  <w15:chartTrackingRefBased/>
  <w15:docId w15:val="{72E7E953-A948-4525-9BF3-3E6FEA7E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21CE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1C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1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1CE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5421CE"/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5421CE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unhideWhenUsed/>
    <w:rsid w:val="005421C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5421CE"/>
  </w:style>
  <w:style w:type="character" w:customStyle="1" w:styleId="AkapitzlistZnak">
    <w:name w:val="Akapit z listą Znak"/>
    <w:aliases w:val="Wykres Znak,EPL lista punktowana z wyrózneniem Znak,A_wyliczenie Znak,K-P_odwolanie Znak,Akapit z listą5 Znak,maz_wyliczenie Znak,opis dzialania Znak,1st level - Bullet List Paragraph Znak,Lettre d'introduction Znak,Bullet list Znak"/>
    <w:link w:val="Akapitzlist"/>
    <w:uiPriority w:val="34"/>
    <w:qFormat/>
    <w:locked/>
    <w:rsid w:val="005421CE"/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Akapitzlist">
    <w:name w:val="List Paragraph"/>
    <w:aliases w:val="Wykres,EPL lista punktowana z wyrózneniem,A_wyliczenie,K-P_odwolanie,Akapit z listą5,maz_wyliczenie,opis dzialania,1st level - Bullet List Paragraph,Lettre d'introduction,Normal bullet 2,Bullet list,Listenabsatz,OBC Bullet,Normal 1,Dot pt"/>
    <w:basedOn w:val="Normalny"/>
    <w:link w:val="AkapitzlistZnak"/>
    <w:uiPriority w:val="34"/>
    <w:qFormat/>
    <w:rsid w:val="005421CE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1C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1C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sid w:val="005421C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5421C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421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1CE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5421C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"/>
    <w:basedOn w:val="Normalny"/>
    <w:link w:val="TekstprzypisudolnegoZnak"/>
    <w:semiHidden/>
    <w:rsid w:val="005421C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semiHidden/>
    <w:rsid w:val="005421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5421C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5421CE"/>
    <w:rPr>
      <w:color w:val="0000FF"/>
      <w:u w:val="single"/>
    </w:rPr>
  </w:style>
  <w:style w:type="paragraph" w:styleId="Poprawka">
    <w:name w:val="Revision"/>
    <w:hidden/>
    <w:uiPriority w:val="99"/>
    <w:semiHidden/>
    <w:rsid w:val="005421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421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WnormalZnak">
    <w:name w:val="W_normal Znak"/>
    <w:link w:val="Wnormal"/>
    <w:locked/>
    <w:rsid w:val="005421CE"/>
    <w:rPr>
      <w:rFonts w:cs="Calibri"/>
    </w:rPr>
  </w:style>
  <w:style w:type="paragraph" w:customStyle="1" w:styleId="Wnormal">
    <w:name w:val="W_normal"/>
    <w:basedOn w:val="Normalny"/>
    <w:link w:val="WnormalZnak"/>
    <w:qFormat/>
    <w:rsid w:val="005421CE"/>
    <w:pPr>
      <w:spacing w:before="120" w:after="120" w:line="276" w:lineRule="auto"/>
      <w:jc w:val="both"/>
    </w:pPr>
    <w:rPr>
      <w:rFonts w:cs="Calibri"/>
    </w:rPr>
  </w:style>
  <w:style w:type="character" w:customStyle="1" w:styleId="FontStyle64">
    <w:name w:val="Font Style64"/>
    <w:uiPriority w:val="99"/>
    <w:rsid w:val="005421CE"/>
    <w:rPr>
      <w:rFonts w:ascii="Calibri" w:hAnsi="Calibri" w:cs="Calibri" w:hint="default"/>
      <w:sz w:val="18"/>
      <w:szCs w:val="18"/>
    </w:rPr>
  </w:style>
  <w:style w:type="paragraph" w:customStyle="1" w:styleId="NCBR2Nagowek">
    <w:name w:val="NCBR_2Nagłowek"/>
    <w:basedOn w:val="Normalny"/>
    <w:qFormat/>
    <w:rsid w:val="005421C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markedcontent">
    <w:name w:val="markedcontent"/>
    <w:rsid w:val="005421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1C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21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421C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421C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5421CE"/>
    <w:pPr>
      <w:spacing w:before="240" w:after="60" w:line="276" w:lineRule="auto"/>
      <w:outlineLvl w:val="0"/>
    </w:pPr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421CE"/>
    <w:rPr>
      <w:rFonts w:ascii="Calibri" w:eastAsia="Times New Roman" w:hAnsi="Calibri" w:cs="Times New Roman"/>
      <w:b/>
      <w:bCs/>
      <w:kern w:val="28"/>
      <w:sz w:val="28"/>
      <w:szCs w:val="32"/>
    </w:rPr>
  </w:style>
  <w:style w:type="character" w:styleId="UyteHipercze">
    <w:name w:val="FollowedHyperlink"/>
    <w:uiPriority w:val="99"/>
    <w:semiHidden/>
    <w:unhideWhenUsed/>
    <w:rsid w:val="005421CE"/>
    <w:rPr>
      <w:color w:val="954F72"/>
      <w:u w:val="single"/>
    </w:rPr>
  </w:style>
  <w:style w:type="character" w:styleId="Pogrubienie">
    <w:name w:val="Strong"/>
    <w:uiPriority w:val="22"/>
    <w:qFormat/>
    <w:rsid w:val="005421CE"/>
    <w:rPr>
      <w:b/>
      <w:bCs/>
    </w:rPr>
  </w:style>
  <w:style w:type="paragraph" w:styleId="NormalnyWeb">
    <w:name w:val="Normal (Web)"/>
    <w:basedOn w:val="Normalny"/>
    <w:uiPriority w:val="99"/>
    <w:unhideWhenUsed/>
    <w:rsid w:val="0054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21C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421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421C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421CE"/>
    <w:rPr>
      <w:rFonts w:ascii="Calibri" w:eastAsia="Calibri" w:hAnsi="Calibri" w:cs="Times New Roman"/>
    </w:rPr>
  </w:style>
  <w:style w:type="character" w:customStyle="1" w:styleId="ui-provider">
    <w:name w:val="ui-provider"/>
    <w:basedOn w:val="Domylnaczcionkaakapitu"/>
    <w:rsid w:val="00F22523"/>
  </w:style>
  <w:style w:type="paragraph" w:customStyle="1" w:styleId="xmsonormal">
    <w:name w:val="x_msonormal"/>
    <w:basedOn w:val="Normalny"/>
    <w:rsid w:val="007B6ADA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rl.europa.eu/meetdocs/2014_2019/documents/com/com_com(2013)0913_/com_com(2013)0913_pl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uroparl.europa.eu/meetdocs/2014_2019/documents/com/com_com(2013)0913_/com_com(2013)0913_p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tis.org/sites/default/files/maas_sump_topic_guide_202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olskawschodnia.gov.pl/media/111331/Zasada_DNSH_sierpien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HTML/?uri=OJ:C:2021:373:FULL&amp;from=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08B4-5703-449E-8E88-8F1A8424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5931</Words>
  <Characters>35589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Szota Bogumił</dc:creator>
  <cp:keywords/>
  <dc:description/>
  <cp:lastModifiedBy>Puzio Magdalena</cp:lastModifiedBy>
  <cp:revision>7</cp:revision>
  <cp:lastPrinted>2023-02-08T13:09:00Z</cp:lastPrinted>
  <dcterms:created xsi:type="dcterms:W3CDTF">2023-02-27T12:23:00Z</dcterms:created>
  <dcterms:modified xsi:type="dcterms:W3CDTF">2023-02-28T13:16:00Z</dcterms:modified>
</cp:coreProperties>
</file>